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spacing w:after="0" w:line="360" w:lineRule="auto"/>
        <w:rPr>
          <w:rFonts w:ascii="Arial" w:eastAsia="Times New Roman" w:hAnsi="Arial" w:cs="Arial"/>
          <w:b/>
          <w:sz w:val="28"/>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INFORME MENSUAL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2717CE" w:rsidP="008A2F37">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ENERO</w:t>
      </w:r>
      <w:r w:rsidR="00BE3688" w:rsidRPr="0088062A">
        <w:rPr>
          <w:rFonts w:ascii="Arial" w:eastAsia="Times New Roman" w:hAnsi="Arial" w:cs="Arial"/>
          <w:b/>
          <w:sz w:val="32"/>
          <w:szCs w:val="24"/>
          <w:lang w:val="es-ES" w:eastAsia="es-ES"/>
        </w:rPr>
        <w:t xml:space="preserve"> </w:t>
      </w:r>
      <w:r>
        <w:rPr>
          <w:rFonts w:ascii="Arial" w:eastAsia="Times New Roman" w:hAnsi="Arial" w:cs="Arial"/>
          <w:b/>
          <w:sz w:val="32"/>
          <w:szCs w:val="24"/>
          <w:lang w:val="es-ES" w:eastAsia="es-ES"/>
        </w:rPr>
        <w:t>2019</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CENTRO PARA EL DESARROLLO DE LAS MUJERES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CDM</w:t>
      </w:r>
    </w:p>
    <w:p w:rsidR="008A2F37" w:rsidRDefault="008A2F37" w:rsidP="008A2F37">
      <w:pPr>
        <w:tabs>
          <w:tab w:val="left" w:pos="0"/>
        </w:tabs>
        <w:spacing w:after="0" w:line="360" w:lineRule="auto"/>
        <w:jc w:val="center"/>
        <w:rPr>
          <w:rFonts w:ascii="Arial" w:eastAsia="Times New Roman" w:hAnsi="Arial" w:cs="Arial"/>
          <w:b/>
          <w:sz w:val="32"/>
          <w:szCs w:val="24"/>
          <w:lang w:val="es-ES" w:eastAsia="es-ES"/>
        </w:rPr>
      </w:pPr>
    </w:p>
    <w:p w:rsidR="002643B7" w:rsidRPr="0088062A" w:rsidRDefault="002643B7" w:rsidP="008A2F37">
      <w:pPr>
        <w:tabs>
          <w:tab w:val="left" w:pos="0"/>
        </w:tabs>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JALISCO</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INSTITUTO JALISCIENSE DE LAS MUJERES</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INSTANCIA MUNICIPAL DE LAS MUJERES EN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SAN MARTIN DE HIDALGO, JALISCO</w:t>
      </w:r>
    </w:p>
    <w:p w:rsidR="008A2F37" w:rsidRPr="0088062A" w:rsidRDefault="008A2F37" w:rsidP="008A2F37">
      <w:pPr>
        <w:spacing w:after="0" w:line="360" w:lineRule="auto"/>
        <w:jc w:val="center"/>
        <w:rPr>
          <w:rFonts w:ascii="Arial" w:eastAsia="Times New Roman" w:hAnsi="Arial" w:cs="Arial"/>
          <w:b/>
          <w:sz w:val="28"/>
          <w:szCs w:val="24"/>
          <w:lang w:val="es-ES" w:eastAsia="es-ES"/>
        </w:rPr>
      </w:pPr>
    </w:p>
    <w:p w:rsidR="008A2F37" w:rsidRPr="0088062A" w:rsidRDefault="008E3241" w:rsidP="008E3241">
      <w:pPr>
        <w:spacing w:after="0" w:line="360" w:lineRule="auto"/>
        <w:jc w:val="center"/>
        <w:rPr>
          <w:rFonts w:ascii="Arial" w:eastAsia="Times New Roman" w:hAnsi="Arial" w:cs="Arial"/>
          <w:b/>
          <w:sz w:val="28"/>
          <w:szCs w:val="24"/>
          <w:lang w:val="es-ES" w:eastAsia="es-ES"/>
        </w:rPr>
      </w:pPr>
      <w:r>
        <w:rPr>
          <w:rFonts w:ascii="Arial" w:eastAsia="Times New Roman" w:hAnsi="Arial" w:cs="Arial"/>
          <w:b/>
          <w:sz w:val="28"/>
          <w:szCs w:val="24"/>
          <w:lang w:val="es-ES" w:eastAsia="es-ES"/>
        </w:rPr>
        <w:t>TRABAJO SOCIAL</w:t>
      </w: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6"/>
          <w:szCs w:val="26"/>
          <w:lang w:val="es-ES" w:eastAsia="es-ES"/>
        </w:rPr>
      </w:pPr>
      <w:r w:rsidRPr="0088062A">
        <w:rPr>
          <w:rFonts w:ascii="Arial" w:eastAsia="Times New Roman" w:hAnsi="Arial" w:cs="Arial"/>
          <w:b/>
          <w:sz w:val="26"/>
          <w:szCs w:val="26"/>
          <w:lang w:val="es-ES" w:eastAsia="es-ES"/>
        </w:rPr>
        <w:t xml:space="preserve">SAN MARTÍN DE HIDALGO </w:t>
      </w:r>
    </w:p>
    <w:p w:rsidR="008A2F37" w:rsidRPr="0088062A" w:rsidRDefault="008A2F37" w:rsidP="008A2F37">
      <w:pPr>
        <w:spacing w:after="0" w:line="240" w:lineRule="auto"/>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br w:type="page"/>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622A21"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8A2F37" w:rsidRPr="0088062A" w:rsidTr="00112399">
        <w:trPr>
          <w:trHeight w:val="350"/>
        </w:trPr>
        <w:tc>
          <w:tcPr>
            <w:tcW w:w="8644" w:type="dxa"/>
            <w:gridSpan w:val="2"/>
            <w:shd w:val="clear" w:color="auto" w:fill="CCCCCC"/>
          </w:tcPr>
          <w:p w:rsidR="008A2F37" w:rsidRPr="0088062A" w:rsidRDefault="00622A21"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Datos generales del CDM</w:t>
            </w:r>
            <w:r w:rsidR="008A2F37" w:rsidRPr="0088062A">
              <w:rPr>
                <w:rFonts w:ascii="Arial" w:eastAsia="Times New Roman" w:hAnsi="Arial" w:cs="Arial"/>
                <w:sz w:val="24"/>
                <w:szCs w:val="24"/>
                <w:lang w:val="es-ES" w:eastAsia="es-ES"/>
              </w:rPr>
              <w:t>:</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Entidad: </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Jalisco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Nombre de la IMEF/ Municipio:</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Instituto Jalisciense de las Mujeres/ Instancia Municipal de la Mujer de San Martín de Hidalgo.</w:t>
            </w:r>
          </w:p>
        </w:tc>
      </w:tr>
    </w:tbl>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4256"/>
      </w:tblGrid>
      <w:tr w:rsidR="008A2F37" w:rsidRPr="0088062A" w:rsidTr="00112399">
        <w:tc>
          <w:tcPr>
            <w:tcW w:w="8644" w:type="dxa"/>
            <w:gridSpan w:val="2"/>
            <w:shd w:val="clear" w:color="auto" w:fill="CCCCCC"/>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Información del Área Responsable:</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8A2F37" w:rsidRPr="0088062A" w:rsidRDefault="008A2F37" w:rsidP="00622A21">
            <w:pPr>
              <w:spacing w:after="0" w:line="360" w:lineRule="auto"/>
              <w:rPr>
                <w:rFonts w:ascii="Arial" w:eastAsia="Times New Roman" w:hAnsi="Arial" w:cs="Arial"/>
                <w:sz w:val="24"/>
                <w:szCs w:val="24"/>
                <w:lang w:val="es-ES" w:eastAsia="es-ES"/>
              </w:rPr>
            </w:pP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Lugar de realización:</w:t>
            </w:r>
          </w:p>
        </w:tc>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San Martín de Hidalgo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Período de elaboración del informe:</w:t>
            </w:r>
          </w:p>
        </w:tc>
        <w:tc>
          <w:tcPr>
            <w:tcW w:w="4322" w:type="dxa"/>
            <w:shd w:val="clear" w:color="auto" w:fill="auto"/>
          </w:tcPr>
          <w:p w:rsidR="008A2F37" w:rsidRPr="0088062A" w:rsidRDefault="002717CE" w:rsidP="008A2F37">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Enero 2019</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Tipo de atención que se proporciona:</w:t>
            </w:r>
          </w:p>
        </w:tc>
        <w:tc>
          <w:tcPr>
            <w:tcW w:w="4322" w:type="dxa"/>
            <w:shd w:val="clear" w:color="auto" w:fill="auto"/>
          </w:tcPr>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Asesoría</w:t>
            </w:r>
          </w:p>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Capacitación</w:t>
            </w:r>
          </w:p>
        </w:tc>
      </w:tr>
    </w:tbl>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ANTECEDENTES </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El </w:t>
      </w:r>
      <w:r w:rsidRPr="0088062A">
        <w:rPr>
          <w:rFonts w:ascii="Arial" w:eastAsia="Times New Roman" w:hAnsi="Arial" w:cs="Arial"/>
          <w:sz w:val="24"/>
          <w:szCs w:val="24"/>
          <w:lang w:val="es-ES" w:eastAsia="es-ES"/>
        </w:rPr>
        <w:t>Centro para el Desarrollo de las Mujeres</w:t>
      </w:r>
      <w:r w:rsidRPr="0088062A">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género mediante la incorporación de la perspectiva de género en las políticas públicas a nivel municipal.</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INTRODUCCIÓN</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Las agresiones hacia la mujer tienen repercusiones en el ámbito laboral, social, económico y familiar. Por esto es necesario informar, sensibilizar y prevenir la discriminación y la violencia de género por medio de pláticas, cursos/talleres con perspectiva de género dentro del Municipio.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En la encuesta realizada por </w:t>
      </w:r>
      <w:r w:rsidRPr="0088062A">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INFORME DE LA OPERACIÓN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Default="008A2F37" w:rsidP="008A2F37">
      <w:pPr>
        <w:shd w:val="clear" w:color="auto" w:fill="FFFFFF"/>
        <w:spacing w:after="324" w:line="360" w:lineRule="auto"/>
        <w:ind w:firstLine="708"/>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Este documento incluye información de carácter cualitativo y cuantitativo, donde se manifiestan las acciones de la ejecución y</w:t>
      </w:r>
      <w:r w:rsidR="008E3241">
        <w:rPr>
          <w:rFonts w:ascii="Arial" w:eastAsia="Times New Roman" w:hAnsi="Arial" w:cs="Arial"/>
          <w:sz w:val="24"/>
          <w:szCs w:val="24"/>
          <w:lang w:val="es-ES" w:eastAsia="es-ES"/>
        </w:rPr>
        <w:t xml:space="preserve"> los servicios brindados por la</w:t>
      </w:r>
      <w:r w:rsidRPr="0088062A">
        <w:rPr>
          <w:rFonts w:ascii="Arial" w:eastAsia="Times New Roman" w:hAnsi="Arial" w:cs="Arial"/>
          <w:sz w:val="24"/>
          <w:szCs w:val="24"/>
          <w:lang w:val="es-ES" w:eastAsia="es-ES"/>
        </w:rPr>
        <w:t xml:space="preserve"> </w:t>
      </w:r>
      <w:r w:rsidR="008E3241">
        <w:rPr>
          <w:rFonts w:ascii="Arial" w:eastAsia="Times New Roman" w:hAnsi="Arial" w:cs="Arial"/>
          <w:sz w:val="24"/>
          <w:szCs w:val="24"/>
          <w:lang w:val="es-ES" w:eastAsia="es-ES"/>
        </w:rPr>
        <w:t>profesionista</w:t>
      </w:r>
      <w:r w:rsidRPr="0088062A">
        <w:rPr>
          <w:rFonts w:ascii="Arial" w:eastAsia="Times New Roman" w:hAnsi="Arial" w:cs="Arial"/>
          <w:sz w:val="24"/>
          <w:szCs w:val="24"/>
          <w:lang w:val="es-ES" w:eastAsia="es-ES"/>
        </w:rPr>
        <w:t xml:space="preserve"> del Centro para el Desarrollo d</w:t>
      </w:r>
      <w:r w:rsidR="008E3241">
        <w:rPr>
          <w:rFonts w:ascii="Arial" w:eastAsia="Times New Roman" w:hAnsi="Arial" w:cs="Arial"/>
          <w:sz w:val="24"/>
          <w:szCs w:val="24"/>
          <w:lang w:val="es-ES" w:eastAsia="es-ES"/>
        </w:rPr>
        <w:t>e las Mujeres (CDM) de San Martí</w:t>
      </w:r>
      <w:r w:rsidRPr="0088062A">
        <w:rPr>
          <w:rFonts w:ascii="Arial" w:eastAsia="Times New Roman" w:hAnsi="Arial" w:cs="Arial"/>
          <w:sz w:val="24"/>
          <w:szCs w:val="24"/>
          <w:lang w:val="es-ES" w:eastAsia="es-ES"/>
        </w:rPr>
        <w:t xml:space="preserve">n de Hidalgo en el </w:t>
      </w:r>
      <w:r w:rsidR="002717CE">
        <w:rPr>
          <w:rFonts w:ascii="Arial" w:eastAsia="Times New Roman" w:hAnsi="Arial" w:cs="Arial"/>
          <w:sz w:val="24"/>
          <w:szCs w:val="24"/>
          <w:lang w:val="es-ES" w:eastAsia="es-ES"/>
        </w:rPr>
        <w:t>mes de enero 2019</w:t>
      </w:r>
      <w:r w:rsidRPr="0088062A">
        <w:rPr>
          <w:rFonts w:ascii="Arial" w:eastAsia="Times New Roman" w:hAnsi="Arial" w:cs="Arial"/>
          <w:sz w:val="24"/>
          <w:szCs w:val="24"/>
          <w:lang w:val="es-ES" w:eastAsia="es-ES"/>
        </w:rPr>
        <w:t>.</w:t>
      </w:r>
    </w:p>
    <w:p w:rsidR="00C778DA" w:rsidRPr="0088062A" w:rsidRDefault="00C778DA" w:rsidP="008A2F37">
      <w:pPr>
        <w:shd w:val="clear" w:color="auto" w:fill="FFFFFF"/>
        <w:spacing w:after="324" w:line="360" w:lineRule="auto"/>
        <w:ind w:firstLine="708"/>
        <w:jc w:val="both"/>
        <w:rPr>
          <w:rFonts w:ascii="Arial" w:eastAsia="Times New Roman" w:hAnsi="Arial" w:cs="Arial"/>
          <w:sz w:val="24"/>
          <w:szCs w:val="24"/>
          <w:lang w:val="es-ES" w:eastAsia="es-ES"/>
        </w:rPr>
      </w:pPr>
    </w:p>
    <w:p w:rsidR="008A2F37" w:rsidRDefault="008A2F37" w:rsidP="00AF6314">
      <w:pPr>
        <w:spacing w:line="360" w:lineRule="auto"/>
        <w:rPr>
          <w:rFonts w:ascii="Arial" w:eastAsia="Times New Roman" w:hAnsi="Arial" w:cs="Arial"/>
          <w:b/>
          <w:i/>
          <w:sz w:val="24"/>
          <w:szCs w:val="24"/>
          <w:lang w:val="es-ES" w:eastAsia="es-ES"/>
        </w:rPr>
      </w:pPr>
      <w:r w:rsidRPr="007405B2">
        <w:rPr>
          <w:rFonts w:ascii="Arial" w:eastAsia="Times New Roman" w:hAnsi="Arial" w:cs="Arial"/>
          <w:b/>
          <w:i/>
          <w:sz w:val="24"/>
          <w:szCs w:val="24"/>
          <w:lang w:val="es-ES" w:eastAsia="es-ES"/>
        </w:rPr>
        <w:t>INFORME CUALITATIVO</w:t>
      </w:r>
    </w:p>
    <w:p w:rsidR="00143EAD" w:rsidRPr="00410E9C" w:rsidRDefault="00F343D3" w:rsidP="002717CE">
      <w:pPr>
        <w:spacing w:line="360" w:lineRule="auto"/>
        <w:jc w:val="both"/>
        <w:rPr>
          <w:rFonts w:ascii="Arial" w:hAnsi="Arial" w:cs="Arial"/>
          <w:color w:val="FF0000"/>
          <w:sz w:val="24"/>
          <w:szCs w:val="24"/>
        </w:rPr>
      </w:pPr>
      <w:r w:rsidRPr="00410E9C">
        <w:rPr>
          <w:color w:val="FF0000"/>
        </w:rPr>
        <w:tab/>
      </w:r>
      <w:r w:rsidR="008C573D" w:rsidRPr="008C573D">
        <w:rPr>
          <w:rFonts w:ascii="Arial" w:hAnsi="Arial" w:cs="Arial"/>
          <w:color w:val="000000" w:themeColor="text1"/>
          <w:sz w:val="24"/>
          <w:szCs w:val="24"/>
        </w:rPr>
        <w:t>En el</w:t>
      </w:r>
      <w:r w:rsidR="00075E1D" w:rsidRPr="008C573D">
        <w:rPr>
          <w:rFonts w:ascii="Arial" w:hAnsi="Arial" w:cs="Arial"/>
          <w:color w:val="000000" w:themeColor="text1"/>
          <w:sz w:val="24"/>
          <w:szCs w:val="24"/>
        </w:rPr>
        <w:t xml:space="preserve"> mes de enero del año</w:t>
      </w:r>
      <w:r w:rsidR="008C573D" w:rsidRPr="008C573D">
        <w:rPr>
          <w:rFonts w:ascii="Arial" w:hAnsi="Arial" w:cs="Arial"/>
          <w:color w:val="000000" w:themeColor="text1"/>
          <w:sz w:val="24"/>
          <w:szCs w:val="24"/>
        </w:rPr>
        <w:t xml:space="preserve"> presente se trabajó brindando atenciones a la población sanmartinense y de la misma manera se impartieron talleres al municipio,</w:t>
      </w:r>
      <w:r w:rsidR="00075E1D" w:rsidRPr="008C573D">
        <w:rPr>
          <w:rFonts w:ascii="Arial" w:hAnsi="Arial" w:cs="Arial"/>
          <w:color w:val="000000" w:themeColor="text1"/>
          <w:sz w:val="24"/>
          <w:szCs w:val="24"/>
        </w:rPr>
        <w:t xml:space="preserve"> el equipo multidisciplinar</w:t>
      </w:r>
      <w:r w:rsidR="005D3074" w:rsidRPr="008C573D">
        <w:rPr>
          <w:rFonts w:ascii="Arial" w:hAnsi="Arial" w:cs="Arial"/>
          <w:color w:val="000000" w:themeColor="text1"/>
          <w:sz w:val="24"/>
          <w:szCs w:val="24"/>
        </w:rPr>
        <w:t>io</w:t>
      </w:r>
      <w:r w:rsidR="008C573D" w:rsidRPr="008C573D">
        <w:rPr>
          <w:rFonts w:ascii="Arial" w:hAnsi="Arial" w:cs="Arial"/>
          <w:color w:val="000000" w:themeColor="text1"/>
          <w:sz w:val="24"/>
          <w:szCs w:val="24"/>
        </w:rPr>
        <w:t xml:space="preserve"> del CDM trabajo junto</w:t>
      </w:r>
      <w:r w:rsidR="00075E1D" w:rsidRPr="008C573D">
        <w:rPr>
          <w:rFonts w:ascii="Arial" w:hAnsi="Arial" w:cs="Arial"/>
          <w:color w:val="000000" w:themeColor="text1"/>
          <w:sz w:val="24"/>
          <w:szCs w:val="24"/>
        </w:rPr>
        <w:t xml:space="preserve"> con la IMM </w:t>
      </w:r>
      <w:r w:rsidR="008C573D" w:rsidRPr="008C573D">
        <w:rPr>
          <w:rFonts w:ascii="Arial" w:hAnsi="Arial" w:cs="Arial"/>
          <w:color w:val="000000" w:themeColor="text1"/>
          <w:sz w:val="24"/>
          <w:szCs w:val="24"/>
        </w:rPr>
        <w:t>para llevar a cabo las actividades mencionadas anteriormente. Se dio difusión de los servicios que se ofertan mediante las personas que acudieron a las instalaciones de la IMM a solicitar atenciones, así como también mediante los talleres que se brindaron en la cabecera municipal. Cabe mencionar que el CDM y la IMM instalaron un cartel en las afueras de su ubicación con el objetivo de hacer del conocimiento a todas aquellas personas que transitan por ahí</w:t>
      </w:r>
      <w:r w:rsidR="008C573D">
        <w:rPr>
          <w:rFonts w:ascii="Arial" w:hAnsi="Arial" w:cs="Arial"/>
          <w:color w:val="000000" w:themeColor="text1"/>
          <w:sz w:val="24"/>
          <w:szCs w:val="24"/>
        </w:rPr>
        <w:t>.</w:t>
      </w:r>
    </w:p>
    <w:p w:rsidR="007A52EB" w:rsidRDefault="00143EAD" w:rsidP="002717CE">
      <w:pPr>
        <w:spacing w:line="360" w:lineRule="auto"/>
        <w:jc w:val="both"/>
        <w:rPr>
          <w:rFonts w:ascii="Arial" w:hAnsi="Arial" w:cs="Arial"/>
          <w:color w:val="FF0000"/>
          <w:sz w:val="24"/>
          <w:szCs w:val="24"/>
        </w:rPr>
      </w:pPr>
      <w:r w:rsidRPr="00410E9C">
        <w:rPr>
          <w:rFonts w:ascii="Arial" w:hAnsi="Arial" w:cs="Arial"/>
          <w:color w:val="FF0000"/>
          <w:sz w:val="24"/>
          <w:szCs w:val="24"/>
        </w:rPr>
        <w:tab/>
      </w:r>
    </w:p>
    <w:p w:rsidR="007A52EB" w:rsidRDefault="007A52EB" w:rsidP="002717CE">
      <w:pPr>
        <w:spacing w:line="360" w:lineRule="auto"/>
        <w:jc w:val="both"/>
        <w:rPr>
          <w:rFonts w:ascii="Arial" w:hAnsi="Arial" w:cs="Arial"/>
          <w:color w:val="FF0000"/>
          <w:sz w:val="24"/>
          <w:szCs w:val="24"/>
        </w:rPr>
      </w:pPr>
      <w:r>
        <w:rPr>
          <w:rFonts w:ascii="Arial" w:hAnsi="Arial" w:cs="Arial"/>
          <w:color w:val="FF0000"/>
          <w:sz w:val="24"/>
          <w:szCs w:val="24"/>
        </w:rPr>
        <w:tab/>
      </w:r>
      <w:r w:rsidRPr="00265FD5">
        <w:rPr>
          <w:rFonts w:ascii="Arial" w:hAnsi="Arial" w:cs="Arial"/>
          <w:color w:val="000000" w:themeColor="text1"/>
          <w:sz w:val="24"/>
          <w:szCs w:val="24"/>
        </w:rPr>
        <w:t xml:space="preserve">Se impartieron un total de seis talleres los cuales se dirigieron a las mujeres pertenecientes al grupo denominado </w:t>
      </w:r>
      <w:r w:rsidRPr="00265FD5">
        <w:rPr>
          <w:rFonts w:ascii="Arial" w:hAnsi="Arial" w:cs="Arial"/>
          <w:i/>
          <w:color w:val="000000" w:themeColor="text1"/>
          <w:sz w:val="24"/>
          <w:szCs w:val="24"/>
        </w:rPr>
        <w:t>prospera</w:t>
      </w:r>
      <w:r w:rsidRPr="00265FD5">
        <w:rPr>
          <w:rFonts w:ascii="Arial" w:hAnsi="Arial" w:cs="Arial"/>
          <w:color w:val="000000" w:themeColor="text1"/>
          <w:sz w:val="24"/>
          <w:szCs w:val="24"/>
        </w:rPr>
        <w:t xml:space="preserve"> del programa de gobierno, haciendo mención que en ellos fue impartida la temática de prevención de violencia contra las mujeres, niñas y niños. En ellos fueron explicados </w:t>
      </w:r>
      <w:r w:rsidR="00265FD5" w:rsidRPr="00265FD5">
        <w:rPr>
          <w:rFonts w:ascii="Arial" w:hAnsi="Arial" w:cs="Arial"/>
          <w:color w:val="000000" w:themeColor="text1"/>
          <w:sz w:val="24"/>
          <w:szCs w:val="24"/>
        </w:rPr>
        <w:t xml:space="preserve">el objetivo que tiene la impartición del taller, </w:t>
      </w:r>
      <w:r w:rsidRPr="00265FD5">
        <w:rPr>
          <w:rFonts w:ascii="Arial" w:hAnsi="Arial" w:cs="Arial"/>
          <w:color w:val="000000" w:themeColor="text1"/>
          <w:sz w:val="24"/>
          <w:szCs w:val="24"/>
        </w:rPr>
        <w:t xml:space="preserve">los tipos de violencia que hay </w:t>
      </w:r>
      <w:r w:rsidR="00265FD5" w:rsidRPr="00265FD5">
        <w:rPr>
          <w:rFonts w:ascii="Arial" w:hAnsi="Arial" w:cs="Arial"/>
          <w:color w:val="000000" w:themeColor="text1"/>
          <w:sz w:val="24"/>
          <w:szCs w:val="24"/>
        </w:rPr>
        <w:t>y las características con las que cuenta, después se mostraron</w:t>
      </w:r>
      <w:r w:rsidRPr="00265FD5">
        <w:rPr>
          <w:rFonts w:ascii="Arial" w:hAnsi="Arial" w:cs="Arial"/>
          <w:color w:val="000000" w:themeColor="text1"/>
          <w:sz w:val="24"/>
          <w:szCs w:val="24"/>
        </w:rPr>
        <w:t xml:space="preserve"> las modalidades en las que se desenvuelven, además de que </w:t>
      </w:r>
      <w:r w:rsidR="00265FD5" w:rsidRPr="00265FD5">
        <w:rPr>
          <w:rFonts w:ascii="Arial" w:hAnsi="Arial" w:cs="Arial"/>
          <w:color w:val="000000" w:themeColor="text1"/>
          <w:sz w:val="24"/>
          <w:szCs w:val="24"/>
        </w:rPr>
        <w:t xml:space="preserve">se les expusieron las repercusiones que por ende acarrea, y para terminar se les habló acerca de los derechos con los que cuentan las mujeres. </w:t>
      </w:r>
    </w:p>
    <w:p w:rsidR="00C34580" w:rsidRPr="00E523D0" w:rsidRDefault="00BF11C9" w:rsidP="00E523D0">
      <w:pPr>
        <w:spacing w:line="360" w:lineRule="auto"/>
        <w:jc w:val="both"/>
        <w:rPr>
          <w:rFonts w:ascii="Arial" w:hAnsi="Arial" w:cs="Arial"/>
          <w:color w:val="FF0000"/>
          <w:sz w:val="24"/>
          <w:szCs w:val="24"/>
        </w:rPr>
      </w:pPr>
      <w:r w:rsidRPr="00410E9C">
        <w:rPr>
          <w:rFonts w:ascii="Arial" w:hAnsi="Arial" w:cs="Arial"/>
          <w:color w:val="FF0000"/>
          <w:sz w:val="24"/>
          <w:szCs w:val="24"/>
        </w:rPr>
        <w:tab/>
      </w:r>
      <w:r w:rsidR="00265FD5" w:rsidRPr="00E523D0">
        <w:rPr>
          <w:rFonts w:ascii="Arial" w:hAnsi="Arial" w:cs="Arial"/>
          <w:color w:val="000000" w:themeColor="text1"/>
          <w:sz w:val="24"/>
          <w:szCs w:val="24"/>
        </w:rPr>
        <w:t xml:space="preserve">Sin dejar de hacer mención que en el transcurso del mes </w:t>
      </w:r>
      <w:r w:rsidR="00E85BD2" w:rsidRPr="00E523D0">
        <w:rPr>
          <w:rFonts w:ascii="Arial" w:hAnsi="Arial" w:cs="Arial"/>
          <w:color w:val="000000" w:themeColor="text1"/>
          <w:sz w:val="24"/>
          <w:szCs w:val="24"/>
        </w:rPr>
        <w:t xml:space="preserve">se fueron realizando las actividades conforme se </w:t>
      </w:r>
      <w:r w:rsidR="00E523D0" w:rsidRPr="00E523D0">
        <w:rPr>
          <w:rFonts w:ascii="Arial" w:hAnsi="Arial" w:cs="Arial"/>
          <w:color w:val="000000" w:themeColor="text1"/>
          <w:sz w:val="24"/>
          <w:szCs w:val="24"/>
        </w:rPr>
        <w:t>había</w:t>
      </w:r>
      <w:r w:rsidR="00E85BD2" w:rsidRPr="00E523D0">
        <w:rPr>
          <w:rFonts w:ascii="Arial" w:hAnsi="Arial" w:cs="Arial"/>
          <w:color w:val="000000" w:themeColor="text1"/>
          <w:sz w:val="24"/>
          <w:szCs w:val="24"/>
        </w:rPr>
        <w:t xml:space="preserve"> </w:t>
      </w:r>
      <w:r w:rsidR="00E523D0" w:rsidRPr="00E523D0">
        <w:rPr>
          <w:rFonts w:ascii="Arial" w:hAnsi="Arial" w:cs="Arial"/>
          <w:color w:val="000000" w:themeColor="text1"/>
          <w:sz w:val="24"/>
          <w:szCs w:val="24"/>
        </w:rPr>
        <w:t>estipulado en el cronograma de actividades elaborado en el mes de diciembre del 2018.</w:t>
      </w:r>
    </w:p>
    <w:p w:rsidR="00C22DEC" w:rsidRPr="00410E9C" w:rsidRDefault="00C22DEC" w:rsidP="00F75AF5">
      <w:pPr>
        <w:shd w:val="clear" w:color="auto" w:fill="FFFFFF"/>
        <w:tabs>
          <w:tab w:val="left" w:pos="750"/>
          <w:tab w:val="left" w:pos="1260"/>
        </w:tabs>
        <w:spacing w:after="324" w:line="360" w:lineRule="auto"/>
        <w:jc w:val="both"/>
        <w:rPr>
          <w:rFonts w:ascii="Arial" w:eastAsia="Times New Roman" w:hAnsi="Arial" w:cs="Arial"/>
          <w:color w:val="FF0000"/>
          <w:sz w:val="24"/>
          <w:szCs w:val="24"/>
          <w:lang w:val="es-ES" w:eastAsia="es-ES"/>
        </w:rPr>
      </w:pPr>
      <w:r>
        <w:rPr>
          <w:rFonts w:ascii="Arial" w:eastAsia="Times New Roman" w:hAnsi="Arial" w:cs="Arial"/>
          <w:sz w:val="24"/>
          <w:szCs w:val="24"/>
          <w:lang w:val="es-ES" w:eastAsia="es-ES"/>
        </w:rPr>
        <w:tab/>
      </w:r>
      <w:r w:rsidRPr="00B34480">
        <w:rPr>
          <w:rFonts w:ascii="Arial" w:eastAsia="Times New Roman" w:hAnsi="Arial" w:cs="Arial"/>
          <w:sz w:val="24"/>
          <w:szCs w:val="24"/>
          <w:lang w:val="es-ES" w:eastAsia="es-ES"/>
        </w:rPr>
        <w:t xml:space="preserve">En el mes </w:t>
      </w:r>
      <w:r>
        <w:rPr>
          <w:rFonts w:ascii="Arial" w:eastAsia="Times New Roman" w:hAnsi="Arial" w:cs="Arial"/>
          <w:sz w:val="24"/>
          <w:szCs w:val="24"/>
          <w:lang w:val="es-ES" w:eastAsia="es-ES"/>
        </w:rPr>
        <w:t>de enero</w:t>
      </w:r>
      <w:r>
        <w:rPr>
          <w:rFonts w:ascii="Arial" w:eastAsia="Times New Roman" w:hAnsi="Arial" w:cs="Arial"/>
          <w:sz w:val="24"/>
          <w:szCs w:val="24"/>
          <w:lang w:val="es-ES" w:eastAsia="es-ES"/>
        </w:rPr>
        <w:t xml:space="preserve"> el área de Trabajo Social brindó a</w:t>
      </w:r>
      <w:r>
        <w:rPr>
          <w:rFonts w:ascii="Arial" w:eastAsia="Times New Roman" w:hAnsi="Arial" w:cs="Arial"/>
          <w:sz w:val="24"/>
          <w:szCs w:val="24"/>
          <w:lang w:val="es-ES" w:eastAsia="es-ES"/>
        </w:rPr>
        <w:t xml:space="preserve"> la población sanmartinense veinticinco </w:t>
      </w:r>
      <w:r w:rsidRPr="00B34480">
        <w:rPr>
          <w:rFonts w:ascii="Arial" w:eastAsia="Times New Roman" w:hAnsi="Arial" w:cs="Arial"/>
          <w:sz w:val="24"/>
          <w:szCs w:val="24"/>
          <w:lang w:val="es-ES" w:eastAsia="es-ES"/>
        </w:rPr>
        <w:t>atenciones de nu</w:t>
      </w:r>
      <w:r>
        <w:rPr>
          <w:rFonts w:ascii="Arial" w:eastAsia="Times New Roman" w:hAnsi="Arial" w:cs="Arial"/>
          <w:sz w:val="24"/>
          <w:szCs w:val="24"/>
          <w:lang w:val="es-ES" w:eastAsia="es-ES"/>
        </w:rPr>
        <w:t>evo ingreso, de las cuales fueron</w:t>
      </w:r>
      <w:r w:rsidRPr="00B34480">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dirigidas a veinte</w:t>
      </w:r>
      <w:r>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mujeres y cinco hombres</w:t>
      </w:r>
      <w:r w:rsidRPr="00B34480">
        <w:rPr>
          <w:rFonts w:ascii="Arial" w:eastAsia="Times New Roman" w:hAnsi="Arial" w:cs="Arial"/>
          <w:sz w:val="24"/>
          <w:szCs w:val="24"/>
          <w:lang w:val="es-ES" w:eastAsia="es-ES"/>
        </w:rPr>
        <w:t xml:space="preserve">, cabe mencionar que el mayor grado de estudios </w:t>
      </w:r>
      <w:r>
        <w:rPr>
          <w:rFonts w:ascii="Arial" w:eastAsia="Times New Roman" w:hAnsi="Arial" w:cs="Arial"/>
          <w:sz w:val="24"/>
          <w:szCs w:val="24"/>
          <w:lang w:val="es-ES" w:eastAsia="es-ES"/>
        </w:rPr>
        <w:t xml:space="preserve">que reportaron las atenciones brindadas fue de </w:t>
      </w:r>
      <w:r w:rsidRPr="00B34480">
        <w:rPr>
          <w:rFonts w:ascii="Arial" w:eastAsia="Times New Roman" w:hAnsi="Arial" w:cs="Arial"/>
          <w:sz w:val="24"/>
          <w:szCs w:val="24"/>
          <w:lang w:val="es-ES" w:eastAsia="es-ES"/>
        </w:rPr>
        <w:t xml:space="preserve">secundaria, como así mismo </w:t>
      </w:r>
      <w:r>
        <w:rPr>
          <w:rFonts w:ascii="Arial" w:eastAsia="Times New Roman" w:hAnsi="Arial" w:cs="Arial"/>
          <w:sz w:val="24"/>
          <w:szCs w:val="24"/>
          <w:lang w:val="es-ES" w:eastAsia="es-ES"/>
        </w:rPr>
        <w:t>dedicadas y dedicados al trabajo remunerado</w:t>
      </w:r>
      <w:r w:rsidRPr="00B34480">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su </w:t>
      </w:r>
      <w:r>
        <w:rPr>
          <w:rFonts w:ascii="Arial" w:eastAsia="Times New Roman" w:hAnsi="Arial" w:cs="Arial"/>
          <w:sz w:val="24"/>
          <w:szCs w:val="24"/>
          <w:lang w:val="es-ES" w:eastAsia="es-ES"/>
        </w:rPr>
        <w:t>más alto ín</w:t>
      </w:r>
      <w:r>
        <w:rPr>
          <w:rFonts w:ascii="Arial" w:eastAsia="Times New Roman" w:hAnsi="Arial" w:cs="Arial"/>
          <w:sz w:val="24"/>
          <w:szCs w:val="24"/>
          <w:lang w:val="es-ES" w:eastAsia="es-ES"/>
        </w:rPr>
        <w:t>dice de estado civil fue la soltería</w:t>
      </w:r>
      <w:r w:rsidRPr="00B34480">
        <w:rPr>
          <w:rFonts w:ascii="Arial" w:eastAsia="Times New Roman" w:hAnsi="Arial" w:cs="Arial"/>
          <w:sz w:val="24"/>
          <w:szCs w:val="24"/>
          <w:lang w:val="es-ES" w:eastAsia="es-ES"/>
        </w:rPr>
        <w:t>. El tipo de violenc</w:t>
      </w:r>
      <w:r>
        <w:rPr>
          <w:rFonts w:ascii="Arial" w:eastAsia="Times New Roman" w:hAnsi="Arial" w:cs="Arial"/>
          <w:sz w:val="24"/>
          <w:szCs w:val="24"/>
          <w:lang w:val="es-ES" w:eastAsia="es-ES"/>
        </w:rPr>
        <w:t>ia con mayor predominio</w:t>
      </w:r>
      <w:r w:rsidRPr="00B34480">
        <w:rPr>
          <w:rFonts w:ascii="Arial" w:eastAsia="Times New Roman" w:hAnsi="Arial" w:cs="Arial"/>
          <w:sz w:val="24"/>
          <w:szCs w:val="24"/>
          <w:lang w:val="es-ES" w:eastAsia="es-ES"/>
        </w:rPr>
        <w:t xml:space="preserve"> fue la violencia psicológica en su modalidad familiar.</w:t>
      </w:r>
    </w:p>
    <w:p w:rsidR="00E523D0" w:rsidRDefault="00E523D0" w:rsidP="001643A4">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p>
    <w:p w:rsidR="00E523D0" w:rsidRDefault="00E523D0" w:rsidP="001643A4">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p>
    <w:p w:rsidR="00E523D0" w:rsidRDefault="00E523D0" w:rsidP="001643A4">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p>
    <w:p w:rsidR="00E523D0" w:rsidRDefault="00E523D0" w:rsidP="001643A4">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p>
    <w:p w:rsidR="00E523D0" w:rsidRDefault="00E523D0" w:rsidP="001643A4">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p>
    <w:p w:rsidR="00E523D0" w:rsidRDefault="00E523D0" w:rsidP="001643A4">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p>
    <w:p w:rsidR="001643A4" w:rsidRPr="0088062A" w:rsidRDefault="001643A4" w:rsidP="001643A4">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r w:rsidRPr="0088062A">
        <w:rPr>
          <w:rFonts w:ascii="Arial" w:eastAsia="Times New Roman" w:hAnsi="Arial" w:cs="Arial"/>
          <w:b/>
          <w:i/>
          <w:sz w:val="24"/>
          <w:szCs w:val="24"/>
          <w:lang w:val="es-ES" w:eastAsia="es-ES"/>
        </w:rPr>
        <w:t>INFORME CUANTITATIVO</w:t>
      </w:r>
    </w:p>
    <w:p w:rsidR="001643A4" w:rsidRPr="0088062A" w:rsidRDefault="001643A4" w:rsidP="001643A4">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ATENCIONES:</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4CD31A56" wp14:editId="59A62471">
            <wp:extent cx="5524500" cy="3228975"/>
            <wp:effectExtent l="0" t="0" r="0" b="0"/>
            <wp:docPr id="2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10E9C" w:rsidRPr="00EA4ECD" w:rsidRDefault="00410E9C" w:rsidP="00410E9C">
      <w:pPr>
        <w:tabs>
          <w:tab w:val="left" w:pos="0"/>
        </w:tabs>
        <w:spacing w:after="0" w:line="360" w:lineRule="auto"/>
        <w:jc w:val="both"/>
        <w:rPr>
          <w:rFonts w:ascii="Arial" w:eastAsia="Times New Roman" w:hAnsi="Arial" w:cs="Arial"/>
          <w:sz w:val="20"/>
          <w:szCs w:val="24"/>
          <w:lang w:val="es-ES" w:eastAsia="es-ES"/>
        </w:rPr>
      </w:pPr>
      <w:r w:rsidRPr="00EA4ECD">
        <w:rPr>
          <w:rFonts w:ascii="Arial" w:eastAsia="Times New Roman" w:hAnsi="Arial" w:cs="Arial"/>
          <w:sz w:val="20"/>
          <w:szCs w:val="24"/>
          <w:lang w:val="es-ES" w:eastAsia="es-ES"/>
        </w:rPr>
        <w:t>En la presente gráfica se hace una demostración acerca de las personas que</w:t>
      </w:r>
      <w:r>
        <w:rPr>
          <w:rFonts w:ascii="Arial" w:eastAsia="Times New Roman" w:hAnsi="Arial" w:cs="Arial"/>
          <w:sz w:val="20"/>
          <w:szCs w:val="24"/>
          <w:lang w:val="es-ES" w:eastAsia="es-ES"/>
        </w:rPr>
        <w:t xml:space="preserve"> acudieron a solicitar atención y que fueron atendidas por el área de Trabajo Social.</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Default="001643A4" w:rsidP="001643A4">
      <w:pPr>
        <w:tabs>
          <w:tab w:val="left" w:pos="0"/>
        </w:tabs>
        <w:spacing w:after="0" w:line="360" w:lineRule="auto"/>
        <w:jc w:val="both"/>
        <w:rPr>
          <w:rFonts w:ascii="Arial" w:eastAsia="Times New Roman" w:hAnsi="Arial" w:cs="Arial"/>
          <w:sz w:val="24"/>
          <w:szCs w:val="24"/>
          <w:lang w:val="es-ES" w:eastAsia="es-ES"/>
        </w:rPr>
      </w:pPr>
    </w:p>
    <w:p w:rsidR="00410E9C" w:rsidRDefault="00410E9C"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7A728ED0" wp14:editId="17DDAEE3">
            <wp:extent cx="5153025" cy="2752725"/>
            <wp:effectExtent l="0" t="0" r="9525" b="952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10E9C" w:rsidRDefault="00410E9C" w:rsidP="00410E9C">
      <w:pPr>
        <w:tabs>
          <w:tab w:val="left" w:pos="0"/>
        </w:tabs>
        <w:spacing w:after="0" w:line="360" w:lineRule="auto"/>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La demostración que se hace en la presente gráfica muestra las atenciones que acudieron al CDM de nuevo ingreso.</w:t>
      </w:r>
    </w:p>
    <w:p w:rsidR="00410E9C" w:rsidRPr="0088062A" w:rsidRDefault="00410E9C"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1355DABC" wp14:editId="5FB51B5D">
            <wp:extent cx="5400040" cy="3161681"/>
            <wp:effectExtent l="0" t="0" r="10160" b="635"/>
            <wp:docPr id="26"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643A4"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está gráfica se muestra que el rango con más afluencia</w:t>
      </w:r>
      <w:r w:rsidR="004E0A01">
        <w:rPr>
          <w:rFonts w:ascii="Arial" w:eastAsia="Times New Roman" w:hAnsi="Arial" w:cs="Arial"/>
          <w:sz w:val="20"/>
          <w:szCs w:val="20"/>
          <w:lang w:val="es-ES" w:eastAsia="es-ES"/>
        </w:rPr>
        <w:t xml:space="preserve"> de las usuarias fue de 30 a 44</w:t>
      </w:r>
      <w:r w:rsidRPr="0088062A">
        <w:rPr>
          <w:rFonts w:ascii="Arial" w:eastAsia="Times New Roman" w:hAnsi="Arial" w:cs="Arial"/>
          <w:sz w:val="20"/>
          <w:szCs w:val="20"/>
          <w:lang w:val="es-ES" w:eastAsia="es-ES"/>
        </w:rPr>
        <w:t xml:space="preserve"> años.</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A043C7"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noProof/>
          <w:sz w:val="24"/>
          <w:szCs w:val="24"/>
          <w:lang w:eastAsia="es-MX"/>
        </w:rPr>
        <w:drawing>
          <wp:inline distT="0" distB="0" distL="0" distR="0" wp14:anchorId="41E79A0C" wp14:editId="6D0DA156">
            <wp:extent cx="5400040" cy="3161665"/>
            <wp:effectExtent l="0" t="0" r="10160" b="635"/>
            <wp:docPr id="3"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043C7" w:rsidRDefault="004E0A01"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está gráfica se muestra que el rango con más afluencia</w:t>
      </w:r>
      <w:r w:rsidR="00555233">
        <w:rPr>
          <w:rFonts w:ascii="Arial" w:eastAsia="Times New Roman" w:hAnsi="Arial" w:cs="Arial"/>
          <w:sz w:val="20"/>
          <w:szCs w:val="20"/>
          <w:lang w:val="es-ES" w:eastAsia="es-ES"/>
        </w:rPr>
        <w:t xml:space="preserve"> de los usuarios fue de </w:t>
      </w:r>
      <w:r>
        <w:rPr>
          <w:rFonts w:ascii="Arial" w:eastAsia="Times New Roman" w:hAnsi="Arial" w:cs="Arial"/>
          <w:sz w:val="20"/>
          <w:szCs w:val="20"/>
          <w:lang w:val="es-ES" w:eastAsia="es-ES"/>
        </w:rPr>
        <w:t>0</w:t>
      </w:r>
      <w:r w:rsidR="00555233">
        <w:rPr>
          <w:rFonts w:ascii="Arial" w:eastAsia="Times New Roman" w:hAnsi="Arial" w:cs="Arial"/>
          <w:sz w:val="20"/>
          <w:szCs w:val="20"/>
          <w:lang w:val="es-ES" w:eastAsia="es-ES"/>
        </w:rPr>
        <w:t xml:space="preserve"> a 14</w:t>
      </w:r>
      <w:r w:rsidRPr="0088062A">
        <w:rPr>
          <w:rFonts w:ascii="Arial" w:eastAsia="Times New Roman" w:hAnsi="Arial" w:cs="Arial"/>
          <w:sz w:val="20"/>
          <w:szCs w:val="20"/>
          <w:lang w:val="es-ES" w:eastAsia="es-ES"/>
        </w:rPr>
        <w:t xml:space="preserve"> años</w:t>
      </w:r>
      <w:r w:rsidR="00555233">
        <w:rPr>
          <w:rFonts w:ascii="Arial" w:eastAsia="Times New Roman" w:hAnsi="Arial" w:cs="Arial"/>
          <w:sz w:val="20"/>
          <w:szCs w:val="20"/>
          <w:lang w:val="es-ES" w:eastAsia="es-ES"/>
        </w:rPr>
        <w:t>.</w:t>
      </w:r>
    </w:p>
    <w:p w:rsidR="00410E9C" w:rsidRPr="0088062A" w:rsidRDefault="00410E9C" w:rsidP="001643A4">
      <w:pPr>
        <w:tabs>
          <w:tab w:val="left" w:pos="0"/>
        </w:tabs>
        <w:spacing w:after="0" w:line="360" w:lineRule="auto"/>
        <w:jc w:val="both"/>
        <w:rPr>
          <w:rFonts w:ascii="Arial" w:eastAsia="Times New Roman" w:hAnsi="Arial" w:cs="Arial"/>
          <w:sz w:val="20"/>
          <w:szCs w:val="20"/>
          <w:lang w:val="es-ES" w:eastAsia="es-ES"/>
        </w:rPr>
      </w:pPr>
    </w:p>
    <w:p w:rsidR="00A043C7"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3EF35E6C" wp14:editId="197A2A95">
            <wp:extent cx="5095875" cy="2638425"/>
            <wp:effectExtent l="0" t="0" r="0" b="0"/>
            <wp:docPr id="28"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10E9C" w:rsidRPr="0088062A" w:rsidRDefault="00410E9C" w:rsidP="00410E9C">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dicha tabla se desglosan los nombres de la</w:t>
      </w:r>
      <w:r>
        <w:rPr>
          <w:rFonts w:ascii="Arial" w:eastAsia="Times New Roman" w:hAnsi="Arial" w:cs="Arial"/>
          <w:sz w:val="20"/>
          <w:szCs w:val="20"/>
          <w:lang w:val="es-ES" w:eastAsia="es-ES"/>
        </w:rPr>
        <w:t>s</w:t>
      </w:r>
      <w:r w:rsidRPr="0088062A">
        <w:rPr>
          <w:rFonts w:ascii="Arial" w:eastAsia="Times New Roman" w:hAnsi="Arial" w:cs="Arial"/>
          <w:sz w:val="20"/>
          <w:szCs w:val="20"/>
          <w:lang w:val="es-ES" w:eastAsia="es-ES"/>
        </w:rPr>
        <w:t xml:space="preserve"> comunidad</w:t>
      </w:r>
      <w:r>
        <w:rPr>
          <w:rFonts w:ascii="Arial" w:eastAsia="Times New Roman" w:hAnsi="Arial" w:cs="Arial"/>
          <w:sz w:val="20"/>
          <w:szCs w:val="20"/>
          <w:lang w:val="es-ES" w:eastAsia="es-ES"/>
        </w:rPr>
        <w:t>es</w:t>
      </w:r>
      <w:r w:rsidRPr="0088062A">
        <w:rPr>
          <w:rFonts w:ascii="Arial" w:eastAsia="Times New Roman" w:hAnsi="Arial" w:cs="Arial"/>
          <w:sz w:val="20"/>
          <w:szCs w:val="20"/>
          <w:lang w:val="es-ES" w:eastAsia="es-ES"/>
        </w:rPr>
        <w:t xml:space="preserve"> a la</w:t>
      </w:r>
      <w:r>
        <w:rPr>
          <w:rFonts w:ascii="Arial" w:eastAsia="Times New Roman" w:hAnsi="Arial" w:cs="Arial"/>
          <w:sz w:val="20"/>
          <w:szCs w:val="20"/>
          <w:lang w:val="es-ES" w:eastAsia="es-ES"/>
        </w:rPr>
        <w:t>s</w:t>
      </w:r>
      <w:r w:rsidRPr="0088062A">
        <w:rPr>
          <w:rFonts w:ascii="Arial" w:eastAsia="Times New Roman" w:hAnsi="Arial" w:cs="Arial"/>
          <w:sz w:val="20"/>
          <w:szCs w:val="20"/>
          <w:lang w:val="es-ES" w:eastAsia="es-ES"/>
        </w:rPr>
        <w:t xml:space="preserve"> que pertenecen las usuarias y los</w:t>
      </w:r>
      <w:r>
        <w:rPr>
          <w:rFonts w:ascii="Arial" w:eastAsia="Times New Roman" w:hAnsi="Arial" w:cs="Arial"/>
          <w:sz w:val="20"/>
          <w:szCs w:val="20"/>
          <w:lang w:val="es-ES" w:eastAsia="es-ES"/>
        </w:rPr>
        <w:t xml:space="preserve"> usuarios que acudieron al CDM.</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Default="001643A4" w:rsidP="001643A4">
      <w:pPr>
        <w:tabs>
          <w:tab w:val="left" w:pos="0"/>
        </w:tabs>
        <w:spacing w:after="0" w:line="360" w:lineRule="auto"/>
        <w:jc w:val="both"/>
        <w:rPr>
          <w:rFonts w:ascii="Arial" w:eastAsia="Times New Roman" w:hAnsi="Arial" w:cs="Arial"/>
          <w:sz w:val="20"/>
          <w:szCs w:val="20"/>
          <w:lang w:val="es-ES" w:eastAsia="es-ES"/>
        </w:rPr>
      </w:pPr>
    </w:p>
    <w:p w:rsidR="00410E9C" w:rsidRDefault="00410E9C" w:rsidP="001643A4">
      <w:pPr>
        <w:tabs>
          <w:tab w:val="left" w:pos="0"/>
        </w:tabs>
        <w:spacing w:after="0" w:line="360" w:lineRule="auto"/>
        <w:jc w:val="both"/>
        <w:rPr>
          <w:rFonts w:ascii="Arial" w:eastAsia="Times New Roman" w:hAnsi="Arial" w:cs="Arial"/>
          <w:sz w:val="20"/>
          <w:szCs w:val="20"/>
          <w:lang w:val="es-ES" w:eastAsia="es-ES"/>
        </w:rPr>
      </w:pPr>
    </w:p>
    <w:p w:rsidR="00410E9C" w:rsidRDefault="00410E9C" w:rsidP="001643A4">
      <w:pPr>
        <w:tabs>
          <w:tab w:val="left" w:pos="0"/>
        </w:tabs>
        <w:spacing w:after="0" w:line="360" w:lineRule="auto"/>
        <w:jc w:val="both"/>
        <w:rPr>
          <w:rFonts w:ascii="Arial" w:eastAsia="Times New Roman" w:hAnsi="Arial" w:cs="Arial"/>
          <w:sz w:val="20"/>
          <w:szCs w:val="20"/>
          <w:lang w:val="es-ES" w:eastAsia="es-ES"/>
        </w:rPr>
      </w:pPr>
    </w:p>
    <w:p w:rsidR="00410E9C" w:rsidRPr="0088062A" w:rsidRDefault="00410E9C"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 w:val="left" w:pos="5070"/>
        </w:tabs>
        <w:spacing w:after="0" w:line="360" w:lineRule="auto"/>
        <w:jc w:val="center"/>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t>Grado de estudios</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7EC04555" wp14:editId="3130B85A">
            <wp:extent cx="5400040" cy="3153923"/>
            <wp:effectExtent l="0" t="0" r="10160" b="8890"/>
            <wp:docPr id="29"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643A4" w:rsidRPr="0088062A" w:rsidRDefault="00410E9C"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dicha tabla se manifiesta el grado de estudios que las usuarias y los usuarios reportaron en las hojas de atención.</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351D32E2" wp14:editId="3C35C7F1">
            <wp:extent cx="5400040" cy="3153923"/>
            <wp:effectExtent l="0" t="0" r="10160" b="8890"/>
            <wp:docPr id="30"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la gráfica se expresan las ocupaciones que reportaron las usuarias y los usuarios  al CDM. </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76443919" wp14:editId="324F580A">
            <wp:extent cx="5400040" cy="3153923"/>
            <wp:effectExtent l="0" t="0" r="10160" b="8890"/>
            <wp:docPr id="3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10E9C" w:rsidRPr="0088062A" w:rsidRDefault="00410E9C" w:rsidP="00410E9C">
      <w:pPr>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ésta representación gráfica se manifiesta el estado civil de cada una de las mujeres y hombres que asistieron al CDM.</w:t>
      </w:r>
    </w:p>
    <w:p w:rsidR="001643A4" w:rsidRPr="0088062A" w:rsidRDefault="001643A4" w:rsidP="001643A4">
      <w:pPr>
        <w:spacing w:after="0" w:line="240" w:lineRule="auto"/>
        <w:jc w:val="both"/>
        <w:rPr>
          <w:rFonts w:ascii="Arial" w:eastAsia="Times New Roman" w:hAnsi="Arial" w:cs="Arial"/>
          <w:sz w:val="20"/>
          <w:szCs w:val="20"/>
          <w:lang w:val="es-ES" w:eastAsia="es-ES"/>
        </w:rPr>
      </w:pPr>
    </w:p>
    <w:p w:rsidR="001643A4" w:rsidRPr="0088062A" w:rsidRDefault="001643A4" w:rsidP="001643A4">
      <w:pPr>
        <w:spacing w:after="0" w:line="240" w:lineRule="auto"/>
        <w:jc w:val="both"/>
        <w:rPr>
          <w:rFonts w:ascii="Arial" w:eastAsia="Times New Roman" w:hAnsi="Arial" w:cs="Arial"/>
          <w:sz w:val="20"/>
          <w:szCs w:val="20"/>
          <w:lang w:val="es-ES" w:eastAsia="es-ES"/>
        </w:rPr>
      </w:pPr>
    </w:p>
    <w:p w:rsidR="001643A4" w:rsidRPr="0088062A" w:rsidRDefault="001643A4" w:rsidP="001643A4">
      <w:pPr>
        <w:tabs>
          <w:tab w:val="left" w:pos="3780"/>
        </w:tabs>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ab/>
      </w:r>
      <w:r w:rsidRPr="0088062A">
        <w:rPr>
          <w:rFonts w:ascii="Arial" w:eastAsia="Times New Roman" w:hAnsi="Arial" w:cs="Arial"/>
          <w:noProof/>
          <w:sz w:val="24"/>
          <w:szCs w:val="24"/>
          <w:lang w:eastAsia="es-MX"/>
        </w:rPr>
        <w:drawing>
          <wp:inline distT="0" distB="0" distL="0" distR="0" wp14:anchorId="28F13719" wp14:editId="48DB8E27">
            <wp:extent cx="5105400" cy="2714625"/>
            <wp:effectExtent l="0" t="0" r="0" b="9525"/>
            <wp:docPr id="2"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643A4" w:rsidRPr="0088062A" w:rsidRDefault="001643A4" w:rsidP="001643A4">
      <w:pPr>
        <w:spacing w:after="0" w:line="240" w:lineRule="auto"/>
        <w:jc w:val="both"/>
        <w:rPr>
          <w:rFonts w:ascii="Arial" w:eastAsia="Times New Roman" w:hAnsi="Arial" w:cs="Arial"/>
          <w:sz w:val="24"/>
          <w:szCs w:val="24"/>
          <w:lang w:val="es-ES" w:eastAsia="es-ES"/>
        </w:rPr>
      </w:pPr>
      <w:r w:rsidRPr="0088062A">
        <w:rPr>
          <w:rFonts w:ascii="Arial" w:eastAsia="Times New Roman" w:hAnsi="Arial" w:cs="Arial"/>
          <w:sz w:val="20"/>
          <w:szCs w:val="20"/>
          <w:lang w:val="es-ES" w:eastAsia="es-ES"/>
        </w:rPr>
        <w:t xml:space="preserve">En dicha gráfica se evidencia que el tipo con más incidencia fue violencia psicológica. </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29E9405E" wp14:editId="74571396">
            <wp:extent cx="5229225" cy="2962275"/>
            <wp:effectExtent l="0" t="0" r="9525" b="9525"/>
            <wp:docPr id="33" name="Gráfico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643A4" w:rsidRDefault="001643A4" w:rsidP="001643A4">
      <w:pPr>
        <w:shd w:val="clear" w:color="auto" w:fill="FFFFFF"/>
        <w:spacing w:after="324"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tabla mostrada anteriormente se tiene como resultado que la modalidad con mayor índice fue familiar.</w:t>
      </w:r>
    </w:p>
    <w:p w:rsidR="002D2AAB" w:rsidRDefault="00DC402B" w:rsidP="001643A4">
      <w:pPr>
        <w:shd w:val="clear" w:color="auto" w:fill="FFFFFF"/>
        <w:spacing w:after="324" w:line="360" w:lineRule="auto"/>
        <w:jc w:val="both"/>
        <w:rPr>
          <w:rFonts w:ascii="Arial" w:eastAsia="Times New Roman" w:hAnsi="Arial" w:cs="Arial"/>
          <w:sz w:val="20"/>
          <w:szCs w:val="20"/>
          <w:lang w:val="es-ES" w:eastAsia="es-ES"/>
        </w:rPr>
      </w:pPr>
      <w:r>
        <w:rPr>
          <w:noProof/>
          <w:lang w:eastAsia="es-MX"/>
        </w:rPr>
        <w:drawing>
          <wp:inline distT="0" distB="0" distL="0" distR="0" wp14:anchorId="4F43A472" wp14:editId="710889C5">
            <wp:extent cx="5400040" cy="3599815"/>
            <wp:effectExtent l="0" t="0" r="10160" b="63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C402B" w:rsidRPr="00DC402B" w:rsidRDefault="00DC402B" w:rsidP="00DC402B">
      <w:pPr>
        <w:spacing w:after="0" w:line="276" w:lineRule="auto"/>
        <w:jc w:val="both"/>
        <w:textAlignment w:val="baseline"/>
        <w:rPr>
          <w:rFonts w:ascii="Arial" w:eastAsia="Times New Roman" w:hAnsi="Arial" w:cs="Arial"/>
          <w:sz w:val="20"/>
          <w:szCs w:val="24"/>
          <w:lang w:val="es-ES" w:eastAsia="es-MX"/>
        </w:rPr>
      </w:pPr>
      <w:r w:rsidRPr="00E81AE1">
        <w:rPr>
          <w:rFonts w:ascii="Arial" w:eastAsia="Times New Roman" w:hAnsi="Arial" w:cs="Arial"/>
          <w:sz w:val="20"/>
          <w:szCs w:val="24"/>
          <w:lang w:val="es-ES" w:eastAsia="es-MX"/>
        </w:rPr>
        <w:t>Aquí se muestra las canalizaciones que Trabajo Social derivó al área de Psicología y Jurídico de CDM San Martín de Hidalgo.</w:t>
      </w:r>
    </w:p>
    <w:p w:rsidR="002D2AAB" w:rsidRPr="00283B95" w:rsidRDefault="002D2AAB" w:rsidP="002D2AAB">
      <w:pPr>
        <w:shd w:val="clear" w:color="auto" w:fill="FFFFFF"/>
        <w:spacing w:after="324" w:line="360" w:lineRule="auto"/>
        <w:jc w:val="both"/>
        <w:rPr>
          <w:rFonts w:ascii="Arial" w:eastAsia="Times New Roman" w:hAnsi="Arial" w:cs="Arial"/>
          <w:sz w:val="24"/>
          <w:szCs w:val="24"/>
          <w:lang w:val="es-ES" w:eastAsia="es-ES"/>
        </w:rPr>
      </w:pPr>
      <w:r w:rsidRPr="00283B95">
        <w:rPr>
          <w:rFonts w:ascii="Arial" w:eastAsia="Times New Roman" w:hAnsi="Arial" w:cs="Arial"/>
          <w:sz w:val="24"/>
          <w:szCs w:val="24"/>
          <w:lang w:val="es-ES" w:eastAsia="es-ES"/>
        </w:rPr>
        <w:t>TALLERES:</w:t>
      </w:r>
    </w:p>
    <w:p w:rsidR="002D2AAB" w:rsidRDefault="002D2AAB" w:rsidP="002D2AAB">
      <w:pPr>
        <w:shd w:val="clear" w:color="auto" w:fill="FFFFFF"/>
        <w:spacing w:after="324" w:line="360" w:lineRule="auto"/>
        <w:jc w:val="both"/>
        <w:rPr>
          <w:rFonts w:ascii="Arial" w:eastAsia="Times New Roman" w:hAnsi="Arial" w:cs="Arial"/>
          <w:b/>
          <w:i/>
          <w:sz w:val="24"/>
          <w:szCs w:val="24"/>
          <w:lang w:val="es-ES" w:eastAsia="es-ES"/>
        </w:rPr>
      </w:pPr>
      <w:r w:rsidRPr="003C442F">
        <w:rPr>
          <w:rFonts w:ascii="Arial" w:hAnsi="Arial" w:cs="Arial"/>
          <w:noProof/>
          <w:lang w:eastAsia="es-MX"/>
        </w:rPr>
        <w:drawing>
          <wp:inline distT="0" distB="0" distL="0" distR="0" wp14:anchorId="2567782B" wp14:editId="0D79E09E">
            <wp:extent cx="4629150" cy="3335020"/>
            <wp:effectExtent l="0" t="0" r="0" b="17780"/>
            <wp:docPr id="15" name="Gráfico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D2AAB" w:rsidRPr="003639F9" w:rsidRDefault="002D2AAB" w:rsidP="002D2AAB">
      <w:pPr>
        <w:rPr>
          <w:rFonts w:ascii="Arial" w:eastAsia="Times New Roman" w:hAnsi="Arial" w:cs="Arial"/>
          <w:sz w:val="24"/>
          <w:szCs w:val="24"/>
          <w:lang w:val="es-ES" w:eastAsia="es-ES"/>
        </w:rPr>
      </w:pPr>
      <w:r w:rsidRPr="003C442F">
        <w:rPr>
          <w:rFonts w:ascii="Arial" w:hAnsi="Arial" w:cs="Arial"/>
          <w:b/>
          <w:noProof/>
          <w:lang w:eastAsia="es-MX"/>
        </w:rPr>
        <w:drawing>
          <wp:inline distT="0" distB="0" distL="0" distR="0" wp14:anchorId="5830F533" wp14:editId="693B8402">
            <wp:extent cx="4819650" cy="6505575"/>
            <wp:effectExtent l="0" t="0" r="0" b="9525"/>
            <wp:docPr id="10" name="Gráfico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D2AAB" w:rsidRPr="003639F9" w:rsidRDefault="002D2AAB" w:rsidP="002D2AAB">
      <w:pPr>
        <w:rPr>
          <w:rFonts w:ascii="Arial" w:eastAsia="Times New Roman" w:hAnsi="Arial" w:cs="Arial"/>
          <w:sz w:val="24"/>
          <w:szCs w:val="24"/>
          <w:lang w:val="es-ES" w:eastAsia="es-ES"/>
        </w:rPr>
      </w:pPr>
      <w:r w:rsidRPr="003C442F">
        <w:rPr>
          <w:rFonts w:ascii="Arial" w:hAnsi="Arial" w:cs="Arial"/>
          <w:b/>
          <w:noProof/>
          <w:lang w:eastAsia="es-MX"/>
        </w:rPr>
        <w:drawing>
          <wp:inline distT="0" distB="0" distL="0" distR="0" wp14:anchorId="2B4442CE" wp14:editId="74C398E6">
            <wp:extent cx="5400040" cy="3153410"/>
            <wp:effectExtent l="0" t="0" r="10160" b="8890"/>
            <wp:docPr id="14" name="Gráfico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D2AAB" w:rsidRDefault="002D2AAB" w:rsidP="002D2AAB">
      <w:pPr>
        <w:rPr>
          <w:rFonts w:ascii="Arial" w:eastAsia="Times New Roman" w:hAnsi="Arial" w:cs="Arial"/>
          <w:sz w:val="24"/>
          <w:szCs w:val="24"/>
          <w:lang w:val="es-ES" w:eastAsia="es-ES"/>
        </w:rPr>
      </w:pPr>
      <w:r w:rsidRPr="003C442F">
        <w:rPr>
          <w:rFonts w:ascii="Arial" w:hAnsi="Arial" w:cs="Arial"/>
          <w:b/>
          <w:noProof/>
          <w:lang w:eastAsia="es-MX"/>
        </w:rPr>
        <w:drawing>
          <wp:inline distT="0" distB="0" distL="0" distR="0" wp14:anchorId="0ECD9503" wp14:editId="7FDA4577">
            <wp:extent cx="5400040" cy="3968115"/>
            <wp:effectExtent l="0" t="0" r="10160" b="13335"/>
            <wp:docPr id="1" name="Gráfico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2D2AAB" w:rsidRPr="003639F9" w:rsidRDefault="002D2AAB" w:rsidP="002D2AAB">
      <w:pPr>
        <w:tabs>
          <w:tab w:val="left" w:pos="7365"/>
        </w:tabs>
        <w:rPr>
          <w:rFonts w:ascii="Arial" w:eastAsia="Times New Roman" w:hAnsi="Arial" w:cs="Arial"/>
          <w:sz w:val="24"/>
          <w:szCs w:val="24"/>
          <w:lang w:val="es-ES" w:eastAsia="es-ES"/>
        </w:rPr>
      </w:pPr>
      <w:r>
        <w:rPr>
          <w:rFonts w:ascii="Arial" w:eastAsia="Times New Roman" w:hAnsi="Arial" w:cs="Arial"/>
          <w:sz w:val="24"/>
          <w:szCs w:val="24"/>
          <w:lang w:val="es-ES" w:eastAsia="es-ES"/>
        </w:rPr>
        <w:tab/>
      </w:r>
    </w:p>
    <w:p w:rsidR="002D2AAB" w:rsidRPr="008E071B" w:rsidRDefault="002D2AAB" w:rsidP="002D2AAB">
      <w:pPr>
        <w:shd w:val="clear" w:color="auto" w:fill="FFFFFF"/>
        <w:spacing w:after="324" w:line="360" w:lineRule="auto"/>
        <w:jc w:val="center"/>
        <w:rPr>
          <w:rFonts w:ascii="Arial" w:eastAsia="Times New Roman" w:hAnsi="Arial" w:cs="Arial"/>
          <w:b/>
          <w:i/>
          <w:sz w:val="24"/>
          <w:szCs w:val="24"/>
          <w:lang w:val="es-ES" w:eastAsia="es-ES"/>
        </w:rPr>
      </w:pPr>
    </w:p>
    <w:p w:rsidR="00683775" w:rsidRDefault="008A2F37" w:rsidP="0096597C">
      <w:pPr>
        <w:spacing w:after="0" w:line="276" w:lineRule="auto"/>
        <w:jc w:val="center"/>
        <w:textAlignment w:val="baseline"/>
        <w:rPr>
          <w:rFonts w:ascii="Arial" w:eastAsia="Times New Roman" w:hAnsi="Arial" w:cs="Arial"/>
          <w:b/>
          <w:bCs/>
          <w:color w:val="000000"/>
          <w:sz w:val="24"/>
          <w:szCs w:val="24"/>
          <w:lang w:val="es-ES" w:eastAsia="es-MX"/>
        </w:rPr>
      </w:pPr>
      <w:r w:rsidRPr="0096597C">
        <w:rPr>
          <w:rFonts w:ascii="Arial" w:eastAsia="Times New Roman" w:hAnsi="Arial" w:cs="Arial"/>
          <w:b/>
          <w:bCs/>
          <w:color w:val="000000"/>
          <w:sz w:val="24"/>
          <w:szCs w:val="24"/>
          <w:lang w:val="es-ES" w:eastAsia="es-MX"/>
        </w:rPr>
        <w:t>CONCLUSIONES Y RECOMENDACIONES</w:t>
      </w:r>
      <w:r w:rsidR="0096597C">
        <w:rPr>
          <w:rFonts w:ascii="Arial" w:eastAsia="Times New Roman" w:hAnsi="Arial" w:cs="Arial"/>
          <w:b/>
          <w:bCs/>
          <w:color w:val="000000"/>
          <w:sz w:val="24"/>
          <w:szCs w:val="24"/>
          <w:lang w:val="es-ES" w:eastAsia="es-MX"/>
        </w:rPr>
        <w:t>:</w:t>
      </w:r>
    </w:p>
    <w:p w:rsidR="00B4295E" w:rsidRDefault="00B4295E" w:rsidP="0096597C">
      <w:pPr>
        <w:spacing w:after="0" w:line="276" w:lineRule="auto"/>
        <w:jc w:val="center"/>
        <w:textAlignment w:val="baseline"/>
        <w:rPr>
          <w:rFonts w:ascii="Arial" w:eastAsia="Times New Roman" w:hAnsi="Arial" w:cs="Arial"/>
          <w:b/>
          <w:bCs/>
          <w:color w:val="000000"/>
          <w:sz w:val="24"/>
          <w:szCs w:val="24"/>
          <w:lang w:val="es-ES" w:eastAsia="es-MX"/>
        </w:rPr>
      </w:pPr>
    </w:p>
    <w:p w:rsidR="00A25DDD" w:rsidRPr="00646B7E" w:rsidRDefault="00A25DDD" w:rsidP="0096597C">
      <w:pPr>
        <w:spacing w:after="0" w:line="276" w:lineRule="auto"/>
        <w:jc w:val="center"/>
        <w:textAlignment w:val="baseline"/>
        <w:rPr>
          <w:rFonts w:ascii="Arial" w:eastAsia="Times New Roman" w:hAnsi="Arial" w:cs="Arial"/>
          <w:bCs/>
          <w:color w:val="000000" w:themeColor="text1"/>
          <w:sz w:val="24"/>
          <w:szCs w:val="24"/>
          <w:lang w:val="es-ES" w:eastAsia="es-MX"/>
        </w:rPr>
      </w:pPr>
    </w:p>
    <w:p w:rsidR="00E523D0" w:rsidRDefault="00E523D0" w:rsidP="00646B7E">
      <w:pPr>
        <w:spacing w:after="0" w:line="360" w:lineRule="auto"/>
        <w:ind w:firstLine="708"/>
        <w:jc w:val="both"/>
        <w:textAlignment w:val="baseline"/>
        <w:rPr>
          <w:rFonts w:ascii="Arial" w:hAnsi="Arial" w:cs="Arial"/>
          <w:color w:val="000000" w:themeColor="text1"/>
          <w:sz w:val="24"/>
          <w:szCs w:val="24"/>
        </w:rPr>
      </w:pPr>
      <w:r w:rsidRPr="00646B7E">
        <w:rPr>
          <w:rFonts w:ascii="Arial" w:eastAsia="Times New Roman" w:hAnsi="Arial" w:cs="Arial"/>
          <w:bCs/>
          <w:color w:val="000000" w:themeColor="text1"/>
          <w:sz w:val="24"/>
          <w:szCs w:val="24"/>
          <w:lang w:val="es-ES" w:eastAsia="es-MX"/>
        </w:rPr>
        <w:t xml:space="preserve">San Martín de Hidalgo es uno de los catorce municipios que cuenta con la fortuna de </w:t>
      </w:r>
      <w:r w:rsidR="00746D73" w:rsidRPr="00646B7E">
        <w:rPr>
          <w:rFonts w:ascii="Arial" w:eastAsia="Times New Roman" w:hAnsi="Arial" w:cs="Arial"/>
          <w:bCs/>
          <w:color w:val="000000" w:themeColor="text1"/>
          <w:sz w:val="24"/>
          <w:szCs w:val="24"/>
          <w:lang w:val="es-ES" w:eastAsia="es-MX"/>
        </w:rPr>
        <w:t>tener un Centro para el Desarrollo de las M</w:t>
      </w:r>
      <w:r w:rsidRPr="00646B7E">
        <w:rPr>
          <w:rFonts w:ascii="Arial" w:eastAsia="Times New Roman" w:hAnsi="Arial" w:cs="Arial"/>
          <w:bCs/>
          <w:color w:val="000000" w:themeColor="text1"/>
          <w:sz w:val="24"/>
          <w:szCs w:val="24"/>
          <w:lang w:val="es-ES" w:eastAsia="es-MX"/>
        </w:rPr>
        <w:t xml:space="preserve">ujeres </w:t>
      </w:r>
      <w:r w:rsidR="00746D73" w:rsidRPr="00646B7E">
        <w:rPr>
          <w:rFonts w:ascii="Arial" w:eastAsia="Times New Roman" w:hAnsi="Arial" w:cs="Arial"/>
          <w:bCs/>
          <w:color w:val="000000" w:themeColor="text1"/>
          <w:sz w:val="24"/>
          <w:szCs w:val="24"/>
          <w:lang w:val="es-ES" w:eastAsia="es-MX"/>
        </w:rPr>
        <w:t xml:space="preserve">y Trabajo Social conviene con la población sanmartinense de que </w:t>
      </w:r>
      <w:r w:rsidR="00746D73" w:rsidRPr="00646B7E">
        <w:rPr>
          <w:rFonts w:ascii="Arial" w:hAnsi="Arial" w:cs="Arial"/>
          <w:color w:val="000000" w:themeColor="text1"/>
          <w:sz w:val="24"/>
          <w:szCs w:val="24"/>
        </w:rPr>
        <w:t>el Instituto Jalisciense de las Mujeres par</w:t>
      </w:r>
      <w:r w:rsidR="00746D73" w:rsidRPr="00646B7E">
        <w:rPr>
          <w:rFonts w:ascii="Arial" w:hAnsi="Arial" w:cs="Arial"/>
          <w:color w:val="000000" w:themeColor="text1"/>
          <w:sz w:val="24"/>
          <w:szCs w:val="24"/>
        </w:rPr>
        <w:t xml:space="preserve">a éste próximo proyecto del 2019 siga dando </w:t>
      </w:r>
      <w:r w:rsidR="00746D73" w:rsidRPr="00646B7E">
        <w:rPr>
          <w:rFonts w:ascii="Arial" w:hAnsi="Arial" w:cs="Arial"/>
          <w:color w:val="000000" w:themeColor="text1"/>
          <w:sz w:val="24"/>
          <w:szCs w:val="24"/>
        </w:rPr>
        <w:t>c</w:t>
      </w:r>
      <w:r w:rsidR="00746D73" w:rsidRPr="00646B7E">
        <w:rPr>
          <w:rFonts w:ascii="Arial" w:hAnsi="Arial" w:cs="Arial"/>
          <w:color w:val="000000" w:themeColor="text1"/>
          <w:sz w:val="24"/>
          <w:szCs w:val="24"/>
        </w:rPr>
        <w:t>ontinuidad</w:t>
      </w:r>
      <w:r w:rsidR="00646B7E" w:rsidRPr="00646B7E">
        <w:rPr>
          <w:rFonts w:ascii="Arial" w:hAnsi="Arial" w:cs="Arial"/>
          <w:color w:val="000000" w:themeColor="text1"/>
          <w:sz w:val="24"/>
          <w:szCs w:val="24"/>
        </w:rPr>
        <w:t>,</w:t>
      </w:r>
      <w:r w:rsidR="00746D73" w:rsidRPr="00646B7E">
        <w:rPr>
          <w:rFonts w:ascii="Arial" w:hAnsi="Arial" w:cs="Arial"/>
          <w:color w:val="000000" w:themeColor="text1"/>
          <w:sz w:val="24"/>
          <w:szCs w:val="24"/>
        </w:rPr>
        <w:t xml:space="preserve"> ya que es de suma importancia que el CDM siga</w:t>
      </w:r>
      <w:r w:rsidR="00746D73" w:rsidRPr="00646B7E">
        <w:rPr>
          <w:rFonts w:ascii="Arial" w:hAnsi="Arial" w:cs="Arial"/>
          <w:color w:val="000000" w:themeColor="text1"/>
          <w:sz w:val="24"/>
          <w:szCs w:val="24"/>
        </w:rPr>
        <w:t xml:space="preserve"> creando conciencia </w:t>
      </w:r>
      <w:r w:rsidR="00646B7E" w:rsidRPr="00646B7E">
        <w:rPr>
          <w:rFonts w:ascii="Arial" w:hAnsi="Arial" w:cs="Arial"/>
          <w:color w:val="000000" w:themeColor="text1"/>
          <w:sz w:val="24"/>
          <w:szCs w:val="24"/>
        </w:rPr>
        <w:t xml:space="preserve">sobre la igualdad y la equidad de género </w:t>
      </w:r>
      <w:r w:rsidR="00746D73" w:rsidRPr="00646B7E">
        <w:rPr>
          <w:rFonts w:ascii="Arial" w:hAnsi="Arial" w:cs="Arial"/>
          <w:color w:val="000000" w:themeColor="text1"/>
          <w:sz w:val="24"/>
          <w:szCs w:val="24"/>
        </w:rPr>
        <w:t xml:space="preserve">y lo más importante que se siga brindando a la población </w:t>
      </w:r>
      <w:r w:rsidR="00746D73" w:rsidRPr="00646B7E">
        <w:rPr>
          <w:rFonts w:ascii="Arial" w:hAnsi="Arial" w:cs="Arial"/>
          <w:color w:val="000000" w:themeColor="text1"/>
          <w:sz w:val="24"/>
          <w:szCs w:val="24"/>
        </w:rPr>
        <w:t>atenciones multidisciplinarias,</w:t>
      </w:r>
      <w:r w:rsidR="00746D73" w:rsidRPr="00646B7E">
        <w:rPr>
          <w:rFonts w:ascii="Arial" w:hAnsi="Arial" w:cs="Arial"/>
          <w:color w:val="000000" w:themeColor="text1"/>
          <w:sz w:val="24"/>
          <w:szCs w:val="24"/>
        </w:rPr>
        <w:t xml:space="preserve"> herramientas </w:t>
      </w:r>
      <w:r w:rsidR="00746D73" w:rsidRPr="00646B7E">
        <w:rPr>
          <w:rFonts w:ascii="Arial" w:hAnsi="Arial" w:cs="Arial"/>
          <w:color w:val="000000" w:themeColor="text1"/>
          <w:sz w:val="24"/>
          <w:szCs w:val="24"/>
        </w:rPr>
        <w:t>que les ayuden a</w:t>
      </w:r>
      <w:r w:rsidR="00746D73" w:rsidRPr="00646B7E">
        <w:rPr>
          <w:rFonts w:ascii="Arial" w:hAnsi="Arial" w:cs="Arial"/>
          <w:color w:val="000000" w:themeColor="text1"/>
          <w:sz w:val="24"/>
          <w:szCs w:val="24"/>
        </w:rPr>
        <w:t xml:space="preserve"> saber prevenir y luchar en contra de la violencia.</w:t>
      </w:r>
    </w:p>
    <w:p w:rsidR="00F748E1" w:rsidRPr="00746D73" w:rsidRDefault="00F748E1" w:rsidP="008A2F37">
      <w:pPr>
        <w:spacing w:after="0" w:line="360" w:lineRule="auto"/>
        <w:ind w:firstLine="709"/>
        <w:jc w:val="both"/>
        <w:textAlignment w:val="baseline"/>
        <w:rPr>
          <w:rFonts w:ascii="Arial" w:eastAsia="Times New Roman" w:hAnsi="Arial" w:cs="Arial"/>
          <w:color w:val="000000" w:themeColor="text1"/>
          <w:sz w:val="24"/>
          <w:szCs w:val="24"/>
          <w:lang w:eastAsia="es-MX"/>
        </w:rPr>
      </w:pPr>
      <w:bookmarkStart w:id="0" w:name="_GoBack"/>
      <w:bookmarkEnd w:id="0"/>
    </w:p>
    <w:p w:rsidR="004B5751" w:rsidRDefault="004B5751" w:rsidP="007405B2">
      <w:pPr>
        <w:spacing w:after="0" w:line="360" w:lineRule="auto"/>
        <w:rPr>
          <w:rFonts w:ascii="Arial" w:eastAsia="Times New Roman" w:hAnsi="Arial" w:cs="Arial"/>
          <w:sz w:val="24"/>
          <w:szCs w:val="24"/>
          <w:lang w:val="es-ES" w:eastAsia="es-ES"/>
        </w:rPr>
      </w:pPr>
    </w:p>
    <w:p w:rsidR="004B5751" w:rsidRPr="0088062A" w:rsidRDefault="004B5751" w:rsidP="007405B2">
      <w:pPr>
        <w:spacing w:after="0" w:line="360" w:lineRule="auto"/>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CENTROS PARA EL DESARROLLO DE LAS MUJERES</w:t>
      </w: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SAN MARTÍN HIDALGO, JALISCO</w:t>
      </w:r>
      <w:r w:rsidR="004B5751">
        <w:rPr>
          <w:rFonts w:ascii="Arial" w:eastAsia="Times New Roman" w:hAnsi="Arial" w:cs="Arial"/>
          <w:sz w:val="24"/>
          <w:szCs w:val="24"/>
          <w:lang w:val="es-ES" w:eastAsia="es-ES"/>
        </w:rPr>
        <w:t>. ENERO 2019</w:t>
      </w: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Coordinador </w:t>
      </w:r>
      <w:r w:rsidR="001426E8" w:rsidRPr="0088062A">
        <w:rPr>
          <w:rFonts w:ascii="Arial" w:eastAsia="Times New Roman" w:hAnsi="Arial" w:cs="Arial"/>
          <w:sz w:val="24"/>
          <w:szCs w:val="24"/>
          <w:lang w:val="es-ES" w:eastAsia="es-ES"/>
        </w:rPr>
        <w:t>CDM</w:t>
      </w: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p>
    <w:p w:rsidR="008A2F37" w:rsidRPr="0088062A" w:rsidRDefault="008A2F37" w:rsidP="008A2F37">
      <w:pPr>
        <w:tabs>
          <w:tab w:val="left" w:pos="223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T.S. Ludim Zárate Meza</w:t>
      </w: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sectPr w:rsidR="008A2F37" w:rsidRPr="008A2F37" w:rsidSect="008A2F37">
          <w:headerReference w:type="default" r:id="rId23"/>
          <w:footerReference w:type="default" r:id="rId24"/>
          <w:pgSz w:w="11906" w:h="16838"/>
          <w:pgMar w:top="1417" w:right="1701" w:bottom="1417" w:left="1701" w:header="708" w:footer="708" w:gutter="0"/>
          <w:cols w:space="708"/>
          <w:docGrid w:linePitch="360"/>
        </w:sectPr>
      </w:pPr>
    </w:p>
    <w:p w:rsidR="008A2F37" w:rsidRPr="008A2F37" w:rsidRDefault="008A2F37" w:rsidP="008A2F37">
      <w:pPr>
        <w:spacing w:after="0" w:line="240" w:lineRule="auto"/>
        <w:jc w:val="center"/>
        <w:rPr>
          <w:rFonts w:ascii="Arial" w:eastAsia="Times New Roman" w:hAnsi="Arial" w:cs="Arial"/>
          <w:b/>
          <w:sz w:val="24"/>
          <w:szCs w:val="24"/>
          <w:lang w:val="es-ES" w:eastAsia="es-ES"/>
        </w:rPr>
      </w:pPr>
    </w:p>
    <w:p w:rsidR="007B6D29" w:rsidRPr="008A2F37" w:rsidRDefault="007B6D29">
      <w:pPr>
        <w:rPr>
          <w:lang w:val="es-ES"/>
        </w:rPr>
      </w:pPr>
    </w:p>
    <w:sectPr w:rsidR="007B6D29" w:rsidRPr="008A2F37"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A85" w:rsidRDefault="00BC7A85">
      <w:pPr>
        <w:spacing w:after="0" w:line="240" w:lineRule="auto"/>
      </w:pPr>
      <w:r>
        <w:separator/>
      </w:r>
    </w:p>
  </w:endnote>
  <w:endnote w:type="continuationSeparator" w:id="0">
    <w:p w:rsidR="00BC7A85" w:rsidRDefault="00BC7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5426136"/>
      <w:docPartObj>
        <w:docPartGallery w:val="Page Numbers (Bottom of Page)"/>
        <w:docPartUnique/>
      </w:docPartObj>
    </w:sdtPr>
    <w:sdtEndPr/>
    <w:sdtContent>
      <w:p w:rsidR="00112399" w:rsidRDefault="00112399" w:rsidP="00112399">
        <w:pPr>
          <w:pStyle w:val="Piedepgina"/>
          <w:jc w:val="right"/>
        </w:pPr>
        <w:r>
          <w:fldChar w:fldCharType="begin"/>
        </w:r>
        <w:r>
          <w:instrText>PAGE   \* MERGEFORMAT</w:instrText>
        </w:r>
        <w:r>
          <w:fldChar w:fldCharType="separate"/>
        </w:r>
        <w:r w:rsidR="00F748E1">
          <w:rPr>
            <w:noProof/>
          </w:rPr>
          <w:t>16</w:t>
        </w:r>
        <w:r>
          <w:fldChar w:fldCharType="end"/>
        </w:r>
      </w:p>
    </w:sdtContent>
  </w:sdt>
  <w:p w:rsidR="00112399" w:rsidRDefault="00112399" w:rsidP="00112399">
    <w:pPr>
      <w:pStyle w:val="Piedepgina"/>
      <w:jc w:val="center"/>
      <w:rPr>
        <w:rFonts w:ascii="Arial" w:hAnsi="Arial" w:cs="Arial"/>
        <w:sz w:val="14"/>
        <w:szCs w:val="14"/>
      </w:rPr>
    </w:pPr>
  </w:p>
  <w:p w:rsidR="00112399" w:rsidRPr="005A4913" w:rsidRDefault="00112399" w:rsidP="00112399">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A85" w:rsidRDefault="00BC7A85">
      <w:pPr>
        <w:spacing w:after="0" w:line="240" w:lineRule="auto"/>
      </w:pPr>
      <w:r>
        <w:separator/>
      </w:r>
    </w:p>
  </w:footnote>
  <w:footnote w:type="continuationSeparator" w:id="0">
    <w:p w:rsidR="00BC7A85" w:rsidRDefault="00BC7A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399" w:rsidRDefault="00112399" w:rsidP="00112399">
    <w:pPr>
      <w:pStyle w:val="Encabezado"/>
      <w:jc w:val="center"/>
    </w:pPr>
    <w:r w:rsidRPr="000E3A19">
      <w:rPr>
        <w:b/>
        <w:noProof/>
        <w:color w:val="000000"/>
        <w:lang w:val="es-MX" w:eastAsia="es-MX"/>
      </w:rPr>
      <w:drawing>
        <wp:inline distT="0" distB="0" distL="0" distR="0" wp14:anchorId="6436297D" wp14:editId="0CE297ED">
          <wp:extent cx="4362450" cy="819150"/>
          <wp:effectExtent l="0" t="0" r="0" b="0"/>
          <wp:docPr id="12" name="Imagen 1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val="es-MX" w:eastAsia="es-MX"/>
      </w:rPr>
      <w:drawing>
        <wp:inline distT="0" distB="0" distL="0" distR="0" wp14:anchorId="6BEB07B5" wp14:editId="329395D4">
          <wp:extent cx="1009650" cy="781050"/>
          <wp:effectExtent l="0" t="0" r="0" b="0"/>
          <wp:docPr id="13" name="Imagen 1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112399" w:rsidRDefault="001123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A31ED"/>
    <w:multiLevelType w:val="hybridMultilevel"/>
    <w:tmpl w:val="0BB699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F42491"/>
    <w:multiLevelType w:val="hybridMultilevel"/>
    <w:tmpl w:val="84B452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F5C7CD7"/>
    <w:multiLevelType w:val="hybridMultilevel"/>
    <w:tmpl w:val="645A582E"/>
    <w:lvl w:ilvl="0" w:tplc="6290ACB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F37"/>
    <w:rsid w:val="00001954"/>
    <w:rsid w:val="00003F5D"/>
    <w:rsid w:val="00006664"/>
    <w:rsid w:val="00011033"/>
    <w:rsid w:val="00011C40"/>
    <w:rsid w:val="00011D67"/>
    <w:rsid w:val="00012D53"/>
    <w:rsid w:val="00012EDE"/>
    <w:rsid w:val="00017153"/>
    <w:rsid w:val="00036532"/>
    <w:rsid w:val="00037BBA"/>
    <w:rsid w:val="00042890"/>
    <w:rsid w:val="00044864"/>
    <w:rsid w:val="00044B73"/>
    <w:rsid w:val="0005301F"/>
    <w:rsid w:val="00054C71"/>
    <w:rsid w:val="000608D3"/>
    <w:rsid w:val="0006212A"/>
    <w:rsid w:val="0006528B"/>
    <w:rsid w:val="000733F9"/>
    <w:rsid w:val="00075E1D"/>
    <w:rsid w:val="000775F6"/>
    <w:rsid w:val="00080657"/>
    <w:rsid w:val="00082262"/>
    <w:rsid w:val="00082679"/>
    <w:rsid w:val="000854AD"/>
    <w:rsid w:val="000903C6"/>
    <w:rsid w:val="00092D41"/>
    <w:rsid w:val="00093E26"/>
    <w:rsid w:val="00097B7C"/>
    <w:rsid w:val="000B0745"/>
    <w:rsid w:val="000B1B41"/>
    <w:rsid w:val="000C0095"/>
    <w:rsid w:val="000D0484"/>
    <w:rsid w:val="000D3A75"/>
    <w:rsid w:val="000E4219"/>
    <w:rsid w:val="00102B2E"/>
    <w:rsid w:val="001031F3"/>
    <w:rsid w:val="00103E3E"/>
    <w:rsid w:val="00104C64"/>
    <w:rsid w:val="00110173"/>
    <w:rsid w:val="00112399"/>
    <w:rsid w:val="00117BC2"/>
    <w:rsid w:val="0012127B"/>
    <w:rsid w:val="0012129C"/>
    <w:rsid w:val="0012471C"/>
    <w:rsid w:val="001252C8"/>
    <w:rsid w:val="00125841"/>
    <w:rsid w:val="00125C09"/>
    <w:rsid w:val="00133D30"/>
    <w:rsid w:val="00140A71"/>
    <w:rsid w:val="00141979"/>
    <w:rsid w:val="001426E8"/>
    <w:rsid w:val="00143EAD"/>
    <w:rsid w:val="00153117"/>
    <w:rsid w:val="00154DC1"/>
    <w:rsid w:val="0015778D"/>
    <w:rsid w:val="00157C61"/>
    <w:rsid w:val="001612C9"/>
    <w:rsid w:val="001643A4"/>
    <w:rsid w:val="0016463F"/>
    <w:rsid w:val="00164769"/>
    <w:rsid w:val="00166F47"/>
    <w:rsid w:val="001833B0"/>
    <w:rsid w:val="001858C6"/>
    <w:rsid w:val="001923CD"/>
    <w:rsid w:val="00196A73"/>
    <w:rsid w:val="001972B9"/>
    <w:rsid w:val="00197C14"/>
    <w:rsid w:val="001A4A67"/>
    <w:rsid w:val="001B0C7C"/>
    <w:rsid w:val="001B5F91"/>
    <w:rsid w:val="001C56FC"/>
    <w:rsid w:val="001D0C95"/>
    <w:rsid w:val="001D600F"/>
    <w:rsid w:val="001E00D0"/>
    <w:rsid w:val="001E1283"/>
    <w:rsid w:val="001E137A"/>
    <w:rsid w:val="001E5AE0"/>
    <w:rsid w:val="001E799C"/>
    <w:rsid w:val="001F2262"/>
    <w:rsid w:val="001F4EAF"/>
    <w:rsid w:val="001F51E5"/>
    <w:rsid w:val="00207F30"/>
    <w:rsid w:val="00211A60"/>
    <w:rsid w:val="00212539"/>
    <w:rsid w:val="0021297F"/>
    <w:rsid w:val="00217668"/>
    <w:rsid w:val="002210CD"/>
    <w:rsid w:val="00226BA6"/>
    <w:rsid w:val="00230143"/>
    <w:rsid w:val="00231D43"/>
    <w:rsid w:val="00241975"/>
    <w:rsid w:val="0025040F"/>
    <w:rsid w:val="002530C6"/>
    <w:rsid w:val="0025543C"/>
    <w:rsid w:val="002641C8"/>
    <w:rsid w:val="002643B7"/>
    <w:rsid w:val="00265FD5"/>
    <w:rsid w:val="00267E45"/>
    <w:rsid w:val="002704EA"/>
    <w:rsid w:val="002717CE"/>
    <w:rsid w:val="0028556F"/>
    <w:rsid w:val="002960D3"/>
    <w:rsid w:val="002A2E7F"/>
    <w:rsid w:val="002A4035"/>
    <w:rsid w:val="002A4573"/>
    <w:rsid w:val="002A772A"/>
    <w:rsid w:val="002B1B20"/>
    <w:rsid w:val="002C2AB7"/>
    <w:rsid w:val="002C4317"/>
    <w:rsid w:val="002D1E78"/>
    <w:rsid w:val="002D2425"/>
    <w:rsid w:val="002D2AAB"/>
    <w:rsid w:val="002D50F3"/>
    <w:rsid w:val="002D698A"/>
    <w:rsid w:val="002E02D3"/>
    <w:rsid w:val="002F16E9"/>
    <w:rsid w:val="002F656F"/>
    <w:rsid w:val="0031115E"/>
    <w:rsid w:val="00317659"/>
    <w:rsid w:val="003209FC"/>
    <w:rsid w:val="003228BB"/>
    <w:rsid w:val="00326370"/>
    <w:rsid w:val="00326AB9"/>
    <w:rsid w:val="00334038"/>
    <w:rsid w:val="00345DA5"/>
    <w:rsid w:val="00352D1D"/>
    <w:rsid w:val="003534DA"/>
    <w:rsid w:val="003579EB"/>
    <w:rsid w:val="00360AEE"/>
    <w:rsid w:val="0036652A"/>
    <w:rsid w:val="003666B1"/>
    <w:rsid w:val="003715FB"/>
    <w:rsid w:val="00374DC5"/>
    <w:rsid w:val="003805FC"/>
    <w:rsid w:val="0038255F"/>
    <w:rsid w:val="003865AB"/>
    <w:rsid w:val="0039169E"/>
    <w:rsid w:val="0039280D"/>
    <w:rsid w:val="00394DA5"/>
    <w:rsid w:val="003A19FE"/>
    <w:rsid w:val="003A1B20"/>
    <w:rsid w:val="003A2368"/>
    <w:rsid w:val="003A27ED"/>
    <w:rsid w:val="003A6393"/>
    <w:rsid w:val="003B38AD"/>
    <w:rsid w:val="003B7FF2"/>
    <w:rsid w:val="003C058D"/>
    <w:rsid w:val="003D1191"/>
    <w:rsid w:val="003D2E3A"/>
    <w:rsid w:val="003D2F45"/>
    <w:rsid w:val="003D34DA"/>
    <w:rsid w:val="003D3941"/>
    <w:rsid w:val="003E1446"/>
    <w:rsid w:val="003E2E64"/>
    <w:rsid w:val="003E3304"/>
    <w:rsid w:val="003E5189"/>
    <w:rsid w:val="003F4379"/>
    <w:rsid w:val="003F7E51"/>
    <w:rsid w:val="00400BE3"/>
    <w:rsid w:val="00401119"/>
    <w:rsid w:val="00402A95"/>
    <w:rsid w:val="004030D6"/>
    <w:rsid w:val="00410E9C"/>
    <w:rsid w:val="00422177"/>
    <w:rsid w:val="0042266C"/>
    <w:rsid w:val="00425E1F"/>
    <w:rsid w:val="00435698"/>
    <w:rsid w:val="00435C0F"/>
    <w:rsid w:val="00445D91"/>
    <w:rsid w:val="0044614D"/>
    <w:rsid w:val="0045097E"/>
    <w:rsid w:val="004644F3"/>
    <w:rsid w:val="00466AA1"/>
    <w:rsid w:val="004738ED"/>
    <w:rsid w:val="00477496"/>
    <w:rsid w:val="004811F5"/>
    <w:rsid w:val="004913CB"/>
    <w:rsid w:val="004929F5"/>
    <w:rsid w:val="004A01DC"/>
    <w:rsid w:val="004A06B1"/>
    <w:rsid w:val="004A319E"/>
    <w:rsid w:val="004A4173"/>
    <w:rsid w:val="004B02AF"/>
    <w:rsid w:val="004B1BF5"/>
    <w:rsid w:val="004B53C2"/>
    <w:rsid w:val="004B5751"/>
    <w:rsid w:val="004C010E"/>
    <w:rsid w:val="004C044A"/>
    <w:rsid w:val="004C0473"/>
    <w:rsid w:val="004C3FCB"/>
    <w:rsid w:val="004C4A58"/>
    <w:rsid w:val="004D17C5"/>
    <w:rsid w:val="004D192A"/>
    <w:rsid w:val="004E0A01"/>
    <w:rsid w:val="004E514A"/>
    <w:rsid w:val="004E59AC"/>
    <w:rsid w:val="004F06CC"/>
    <w:rsid w:val="004F3CFA"/>
    <w:rsid w:val="004F3D46"/>
    <w:rsid w:val="004F5675"/>
    <w:rsid w:val="004F68F0"/>
    <w:rsid w:val="004F7EE6"/>
    <w:rsid w:val="00505F2D"/>
    <w:rsid w:val="00512DCC"/>
    <w:rsid w:val="0051629C"/>
    <w:rsid w:val="00521DFE"/>
    <w:rsid w:val="00522EF8"/>
    <w:rsid w:val="00552E16"/>
    <w:rsid w:val="00554DB2"/>
    <w:rsid w:val="00555233"/>
    <w:rsid w:val="005552AA"/>
    <w:rsid w:val="00555977"/>
    <w:rsid w:val="00565EB6"/>
    <w:rsid w:val="0056694A"/>
    <w:rsid w:val="00573302"/>
    <w:rsid w:val="005741FA"/>
    <w:rsid w:val="00574900"/>
    <w:rsid w:val="00576C29"/>
    <w:rsid w:val="00581531"/>
    <w:rsid w:val="00582183"/>
    <w:rsid w:val="00582B9B"/>
    <w:rsid w:val="005846DF"/>
    <w:rsid w:val="0059037F"/>
    <w:rsid w:val="005A048A"/>
    <w:rsid w:val="005A6B3E"/>
    <w:rsid w:val="005B7E9B"/>
    <w:rsid w:val="005D1BA6"/>
    <w:rsid w:val="005D3074"/>
    <w:rsid w:val="005D7407"/>
    <w:rsid w:val="005D7AC4"/>
    <w:rsid w:val="005F2FB0"/>
    <w:rsid w:val="005F66C5"/>
    <w:rsid w:val="00601ED1"/>
    <w:rsid w:val="00602A31"/>
    <w:rsid w:val="00604B68"/>
    <w:rsid w:val="00607478"/>
    <w:rsid w:val="00610798"/>
    <w:rsid w:val="00610CB4"/>
    <w:rsid w:val="00612148"/>
    <w:rsid w:val="00612E4D"/>
    <w:rsid w:val="00616DBF"/>
    <w:rsid w:val="00621660"/>
    <w:rsid w:val="00622A21"/>
    <w:rsid w:val="00623BE7"/>
    <w:rsid w:val="006266BC"/>
    <w:rsid w:val="00627EEA"/>
    <w:rsid w:val="00633490"/>
    <w:rsid w:val="00646B7E"/>
    <w:rsid w:val="00646D75"/>
    <w:rsid w:val="00656782"/>
    <w:rsid w:val="00661820"/>
    <w:rsid w:val="006632BB"/>
    <w:rsid w:val="00663354"/>
    <w:rsid w:val="006701DC"/>
    <w:rsid w:val="00671B5D"/>
    <w:rsid w:val="0068207F"/>
    <w:rsid w:val="00682729"/>
    <w:rsid w:val="006830CC"/>
    <w:rsid w:val="00683775"/>
    <w:rsid w:val="00683BF2"/>
    <w:rsid w:val="00685FE5"/>
    <w:rsid w:val="006907E4"/>
    <w:rsid w:val="006915B8"/>
    <w:rsid w:val="0069683C"/>
    <w:rsid w:val="00697A44"/>
    <w:rsid w:val="006A4B50"/>
    <w:rsid w:val="006A6A05"/>
    <w:rsid w:val="006A7096"/>
    <w:rsid w:val="006B0A90"/>
    <w:rsid w:val="006B3AB5"/>
    <w:rsid w:val="006C57C2"/>
    <w:rsid w:val="006C7D61"/>
    <w:rsid w:val="006D3A54"/>
    <w:rsid w:val="006F3363"/>
    <w:rsid w:val="006F4E59"/>
    <w:rsid w:val="007147B5"/>
    <w:rsid w:val="00716CC9"/>
    <w:rsid w:val="00717363"/>
    <w:rsid w:val="007252DC"/>
    <w:rsid w:val="00726A2C"/>
    <w:rsid w:val="007369A4"/>
    <w:rsid w:val="00737A25"/>
    <w:rsid w:val="007405B2"/>
    <w:rsid w:val="00741691"/>
    <w:rsid w:val="00743F4D"/>
    <w:rsid w:val="00746D73"/>
    <w:rsid w:val="00747DDA"/>
    <w:rsid w:val="00762FAB"/>
    <w:rsid w:val="00765974"/>
    <w:rsid w:val="007665AF"/>
    <w:rsid w:val="00770320"/>
    <w:rsid w:val="007736A6"/>
    <w:rsid w:val="00786DAE"/>
    <w:rsid w:val="007921E6"/>
    <w:rsid w:val="00793AC1"/>
    <w:rsid w:val="00795155"/>
    <w:rsid w:val="0079639A"/>
    <w:rsid w:val="007A52EB"/>
    <w:rsid w:val="007B6D29"/>
    <w:rsid w:val="007B7949"/>
    <w:rsid w:val="007C0058"/>
    <w:rsid w:val="007C42E9"/>
    <w:rsid w:val="007F0AD1"/>
    <w:rsid w:val="00806912"/>
    <w:rsid w:val="008142AC"/>
    <w:rsid w:val="00820FDC"/>
    <w:rsid w:val="008216A2"/>
    <w:rsid w:val="008221F1"/>
    <w:rsid w:val="00824789"/>
    <w:rsid w:val="00833A28"/>
    <w:rsid w:val="00835EB3"/>
    <w:rsid w:val="008376FA"/>
    <w:rsid w:val="00840333"/>
    <w:rsid w:val="00847FF5"/>
    <w:rsid w:val="008522FC"/>
    <w:rsid w:val="008633B4"/>
    <w:rsid w:val="00863A61"/>
    <w:rsid w:val="00863F0F"/>
    <w:rsid w:val="00866A52"/>
    <w:rsid w:val="00875D20"/>
    <w:rsid w:val="008762B1"/>
    <w:rsid w:val="0088062A"/>
    <w:rsid w:val="0088105C"/>
    <w:rsid w:val="00883783"/>
    <w:rsid w:val="0088710A"/>
    <w:rsid w:val="00894421"/>
    <w:rsid w:val="008945F7"/>
    <w:rsid w:val="008A1086"/>
    <w:rsid w:val="008A1705"/>
    <w:rsid w:val="008A2F37"/>
    <w:rsid w:val="008B3CDB"/>
    <w:rsid w:val="008B4C94"/>
    <w:rsid w:val="008C3634"/>
    <w:rsid w:val="008C573D"/>
    <w:rsid w:val="008D0ABB"/>
    <w:rsid w:val="008D0D7A"/>
    <w:rsid w:val="008D6F34"/>
    <w:rsid w:val="008E0679"/>
    <w:rsid w:val="008E17EF"/>
    <w:rsid w:val="008E2091"/>
    <w:rsid w:val="008E3241"/>
    <w:rsid w:val="008E3647"/>
    <w:rsid w:val="008F2238"/>
    <w:rsid w:val="008F31AA"/>
    <w:rsid w:val="008F394B"/>
    <w:rsid w:val="00903D1E"/>
    <w:rsid w:val="0090478D"/>
    <w:rsid w:val="009146CA"/>
    <w:rsid w:val="009176AE"/>
    <w:rsid w:val="009320AC"/>
    <w:rsid w:val="00932692"/>
    <w:rsid w:val="00934028"/>
    <w:rsid w:val="009340D2"/>
    <w:rsid w:val="00935547"/>
    <w:rsid w:val="009368DF"/>
    <w:rsid w:val="00942D22"/>
    <w:rsid w:val="00946ED3"/>
    <w:rsid w:val="009475BC"/>
    <w:rsid w:val="009528B1"/>
    <w:rsid w:val="009578E0"/>
    <w:rsid w:val="00962043"/>
    <w:rsid w:val="009636B5"/>
    <w:rsid w:val="0096597C"/>
    <w:rsid w:val="00971F81"/>
    <w:rsid w:val="00973886"/>
    <w:rsid w:val="009741DC"/>
    <w:rsid w:val="00975CD9"/>
    <w:rsid w:val="009865AD"/>
    <w:rsid w:val="0099242F"/>
    <w:rsid w:val="00992819"/>
    <w:rsid w:val="0099293A"/>
    <w:rsid w:val="009A16EB"/>
    <w:rsid w:val="009A3CCB"/>
    <w:rsid w:val="009A5F1B"/>
    <w:rsid w:val="009A5FC2"/>
    <w:rsid w:val="009A602E"/>
    <w:rsid w:val="009A63A6"/>
    <w:rsid w:val="009A65A9"/>
    <w:rsid w:val="009B2262"/>
    <w:rsid w:val="009B39E6"/>
    <w:rsid w:val="009C33AA"/>
    <w:rsid w:val="009D49DE"/>
    <w:rsid w:val="009D58DF"/>
    <w:rsid w:val="009E7223"/>
    <w:rsid w:val="009F3EE2"/>
    <w:rsid w:val="009F5B82"/>
    <w:rsid w:val="00A043C7"/>
    <w:rsid w:val="00A04CE9"/>
    <w:rsid w:val="00A06B62"/>
    <w:rsid w:val="00A16549"/>
    <w:rsid w:val="00A22BF5"/>
    <w:rsid w:val="00A25DDD"/>
    <w:rsid w:val="00A31A9D"/>
    <w:rsid w:val="00A40747"/>
    <w:rsid w:val="00A40E1A"/>
    <w:rsid w:val="00A44956"/>
    <w:rsid w:val="00A53686"/>
    <w:rsid w:val="00A54708"/>
    <w:rsid w:val="00A60947"/>
    <w:rsid w:val="00A60EC7"/>
    <w:rsid w:val="00A60F72"/>
    <w:rsid w:val="00A64988"/>
    <w:rsid w:val="00A64A65"/>
    <w:rsid w:val="00A668F1"/>
    <w:rsid w:val="00A72951"/>
    <w:rsid w:val="00A73C57"/>
    <w:rsid w:val="00A80645"/>
    <w:rsid w:val="00A824FE"/>
    <w:rsid w:val="00A82997"/>
    <w:rsid w:val="00A82D84"/>
    <w:rsid w:val="00AA6B74"/>
    <w:rsid w:val="00AA6CFE"/>
    <w:rsid w:val="00AB020F"/>
    <w:rsid w:val="00AB5878"/>
    <w:rsid w:val="00AB7720"/>
    <w:rsid w:val="00AC1CEF"/>
    <w:rsid w:val="00AC21EF"/>
    <w:rsid w:val="00AC6A48"/>
    <w:rsid w:val="00AD2A41"/>
    <w:rsid w:val="00AD6316"/>
    <w:rsid w:val="00AD64E4"/>
    <w:rsid w:val="00AE4CCD"/>
    <w:rsid w:val="00AF18C2"/>
    <w:rsid w:val="00AF1DA2"/>
    <w:rsid w:val="00AF353F"/>
    <w:rsid w:val="00AF54AE"/>
    <w:rsid w:val="00AF6314"/>
    <w:rsid w:val="00B0088B"/>
    <w:rsid w:val="00B01700"/>
    <w:rsid w:val="00B02560"/>
    <w:rsid w:val="00B06456"/>
    <w:rsid w:val="00B06A89"/>
    <w:rsid w:val="00B13C38"/>
    <w:rsid w:val="00B16982"/>
    <w:rsid w:val="00B17FA4"/>
    <w:rsid w:val="00B2079A"/>
    <w:rsid w:val="00B22C48"/>
    <w:rsid w:val="00B25502"/>
    <w:rsid w:val="00B41785"/>
    <w:rsid w:val="00B4295E"/>
    <w:rsid w:val="00B456C2"/>
    <w:rsid w:val="00B4582D"/>
    <w:rsid w:val="00B515AD"/>
    <w:rsid w:val="00B53A52"/>
    <w:rsid w:val="00B53FE7"/>
    <w:rsid w:val="00B61766"/>
    <w:rsid w:val="00B67D6F"/>
    <w:rsid w:val="00B75C08"/>
    <w:rsid w:val="00B7775E"/>
    <w:rsid w:val="00BA0698"/>
    <w:rsid w:val="00BA118C"/>
    <w:rsid w:val="00BA1FD3"/>
    <w:rsid w:val="00BA3D5A"/>
    <w:rsid w:val="00BA4F7A"/>
    <w:rsid w:val="00BB673E"/>
    <w:rsid w:val="00BC4A60"/>
    <w:rsid w:val="00BC4E7E"/>
    <w:rsid w:val="00BC7A85"/>
    <w:rsid w:val="00BD5523"/>
    <w:rsid w:val="00BD56EC"/>
    <w:rsid w:val="00BE3688"/>
    <w:rsid w:val="00BE3B04"/>
    <w:rsid w:val="00BE526C"/>
    <w:rsid w:val="00BE5E9F"/>
    <w:rsid w:val="00BF073A"/>
    <w:rsid w:val="00BF11C9"/>
    <w:rsid w:val="00BF25E6"/>
    <w:rsid w:val="00BF452B"/>
    <w:rsid w:val="00C01275"/>
    <w:rsid w:val="00C03648"/>
    <w:rsid w:val="00C06217"/>
    <w:rsid w:val="00C10144"/>
    <w:rsid w:val="00C104D5"/>
    <w:rsid w:val="00C22DEC"/>
    <w:rsid w:val="00C262AF"/>
    <w:rsid w:val="00C2689C"/>
    <w:rsid w:val="00C27B3D"/>
    <w:rsid w:val="00C32799"/>
    <w:rsid w:val="00C34580"/>
    <w:rsid w:val="00C3770B"/>
    <w:rsid w:val="00C42F2F"/>
    <w:rsid w:val="00C5463B"/>
    <w:rsid w:val="00C57B4F"/>
    <w:rsid w:val="00C61072"/>
    <w:rsid w:val="00C61BC7"/>
    <w:rsid w:val="00C737E4"/>
    <w:rsid w:val="00C748A2"/>
    <w:rsid w:val="00C778DA"/>
    <w:rsid w:val="00C77CC7"/>
    <w:rsid w:val="00C811BC"/>
    <w:rsid w:val="00C9045E"/>
    <w:rsid w:val="00C94CD0"/>
    <w:rsid w:val="00C954E8"/>
    <w:rsid w:val="00C95D1F"/>
    <w:rsid w:val="00CA0511"/>
    <w:rsid w:val="00CA2EE0"/>
    <w:rsid w:val="00CA6F8D"/>
    <w:rsid w:val="00CA7147"/>
    <w:rsid w:val="00CB01EF"/>
    <w:rsid w:val="00CC3BE6"/>
    <w:rsid w:val="00CC6282"/>
    <w:rsid w:val="00CD31D7"/>
    <w:rsid w:val="00CD4961"/>
    <w:rsid w:val="00CD5B97"/>
    <w:rsid w:val="00CD5DE4"/>
    <w:rsid w:val="00CE7055"/>
    <w:rsid w:val="00CF06C5"/>
    <w:rsid w:val="00CF3F22"/>
    <w:rsid w:val="00CF65BA"/>
    <w:rsid w:val="00D0453B"/>
    <w:rsid w:val="00D14D50"/>
    <w:rsid w:val="00D164F4"/>
    <w:rsid w:val="00D17A31"/>
    <w:rsid w:val="00D23A0F"/>
    <w:rsid w:val="00D24E2B"/>
    <w:rsid w:val="00D309F5"/>
    <w:rsid w:val="00D43B5F"/>
    <w:rsid w:val="00D45A94"/>
    <w:rsid w:val="00D47556"/>
    <w:rsid w:val="00D513F8"/>
    <w:rsid w:val="00D52758"/>
    <w:rsid w:val="00D53CB7"/>
    <w:rsid w:val="00D617D3"/>
    <w:rsid w:val="00D72CB4"/>
    <w:rsid w:val="00D760F2"/>
    <w:rsid w:val="00D81F90"/>
    <w:rsid w:val="00D9000A"/>
    <w:rsid w:val="00DB22BC"/>
    <w:rsid w:val="00DC402B"/>
    <w:rsid w:val="00DD4CBD"/>
    <w:rsid w:val="00DD6B0D"/>
    <w:rsid w:val="00DE1AEC"/>
    <w:rsid w:val="00DE53E7"/>
    <w:rsid w:val="00DE6430"/>
    <w:rsid w:val="00E1308F"/>
    <w:rsid w:val="00E132CF"/>
    <w:rsid w:val="00E160E3"/>
    <w:rsid w:val="00E2356A"/>
    <w:rsid w:val="00E25273"/>
    <w:rsid w:val="00E25745"/>
    <w:rsid w:val="00E32A3F"/>
    <w:rsid w:val="00E36CF5"/>
    <w:rsid w:val="00E523D0"/>
    <w:rsid w:val="00E57C5B"/>
    <w:rsid w:val="00E619DC"/>
    <w:rsid w:val="00E83623"/>
    <w:rsid w:val="00E85BD2"/>
    <w:rsid w:val="00E932BB"/>
    <w:rsid w:val="00E95623"/>
    <w:rsid w:val="00E95C32"/>
    <w:rsid w:val="00E963C5"/>
    <w:rsid w:val="00E96467"/>
    <w:rsid w:val="00E9780E"/>
    <w:rsid w:val="00EA1F99"/>
    <w:rsid w:val="00EB08B9"/>
    <w:rsid w:val="00EB0E96"/>
    <w:rsid w:val="00EB14B0"/>
    <w:rsid w:val="00EB3A58"/>
    <w:rsid w:val="00EB749E"/>
    <w:rsid w:val="00EC08FD"/>
    <w:rsid w:val="00ED785D"/>
    <w:rsid w:val="00EE0720"/>
    <w:rsid w:val="00EF11A7"/>
    <w:rsid w:val="00EF1217"/>
    <w:rsid w:val="00EF1BB0"/>
    <w:rsid w:val="00EF2BCE"/>
    <w:rsid w:val="00EF365F"/>
    <w:rsid w:val="00EF5A3C"/>
    <w:rsid w:val="00EF7AB1"/>
    <w:rsid w:val="00F01B0D"/>
    <w:rsid w:val="00F01EF2"/>
    <w:rsid w:val="00F0474F"/>
    <w:rsid w:val="00F04770"/>
    <w:rsid w:val="00F0715C"/>
    <w:rsid w:val="00F076BF"/>
    <w:rsid w:val="00F10195"/>
    <w:rsid w:val="00F15235"/>
    <w:rsid w:val="00F22513"/>
    <w:rsid w:val="00F22E41"/>
    <w:rsid w:val="00F238D9"/>
    <w:rsid w:val="00F23D46"/>
    <w:rsid w:val="00F26AF6"/>
    <w:rsid w:val="00F3243E"/>
    <w:rsid w:val="00F32A6A"/>
    <w:rsid w:val="00F343D3"/>
    <w:rsid w:val="00F35735"/>
    <w:rsid w:val="00F35E7B"/>
    <w:rsid w:val="00F365FB"/>
    <w:rsid w:val="00F37395"/>
    <w:rsid w:val="00F4010A"/>
    <w:rsid w:val="00F42E45"/>
    <w:rsid w:val="00F431F7"/>
    <w:rsid w:val="00F4691D"/>
    <w:rsid w:val="00F57885"/>
    <w:rsid w:val="00F603E5"/>
    <w:rsid w:val="00F631C4"/>
    <w:rsid w:val="00F7112F"/>
    <w:rsid w:val="00F748E1"/>
    <w:rsid w:val="00F75AF5"/>
    <w:rsid w:val="00F774A4"/>
    <w:rsid w:val="00F83CAE"/>
    <w:rsid w:val="00F8603C"/>
    <w:rsid w:val="00F97B27"/>
    <w:rsid w:val="00FA3F63"/>
    <w:rsid w:val="00FA7F57"/>
    <w:rsid w:val="00FB1802"/>
    <w:rsid w:val="00FB27F3"/>
    <w:rsid w:val="00FC5274"/>
    <w:rsid w:val="00FD349F"/>
    <w:rsid w:val="00FD4014"/>
    <w:rsid w:val="00FD52A9"/>
    <w:rsid w:val="00FD7792"/>
    <w:rsid w:val="00FE18BE"/>
    <w:rsid w:val="00FF0196"/>
    <w:rsid w:val="00FF1B2E"/>
    <w:rsid w:val="00FF20F5"/>
    <w:rsid w:val="00FF4208"/>
    <w:rsid w:val="00FF7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1735C9-2CF6-4184-BD51-425CFEDF1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B617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A2F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A2F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426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26E8"/>
    <w:rPr>
      <w:rFonts w:ascii="Tahoma" w:hAnsi="Tahoma" w:cs="Tahoma"/>
      <w:sz w:val="16"/>
      <w:szCs w:val="16"/>
    </w:rPr>
  </w:style>
  <w:style w:type="character" w:styleId="Refdecomentario">
    <w:name w:val="annotation reference"/>
    <w:basedOn w:val="Fuentedeprrafopredeter"/>
    <w:uiPriority w:val="99"/>
    <w:semiHidden/>
    <w:unhideWhenUsed/>
    <w:rsid w:val="00A64A65"/>
    <w:rPr>
      <w:sz w:val="16"/>
      <w:szCs w:val="16"/>
    </w:rPr>
  </w:style>
  <w:style w:type="paragraph" w:styleId="Textocomentario">
    <w:name w:val="annotation text"/>
    <w:basedOn w:val="Normal"/>
    <w:link w:val="TextocomentarioCar"/>
    <w:uiPriority w:val="99"/>
    <w:semiHidden/>
    <w:unhideWhenUsed/>
    <w:rsid w:val="00A64A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4A65"/>
    <w:rPr>
      <w:sz w:val="20"/>
      <w:szCs w:val="20"/>
    </w:rPr>
  </w:style>
  <w:style w:type="paragraph" w:styleId="Asuntodelcomentario">
    <w:name w:val="annotation subject"/>
    <w:basedOn w:val="Textocomentario"/>
    <w:next w:val="Textocomentario"/>
    <w:link w:val="AsuntodelcomentarioCar"/>
    <w:uiPriority w:val="99"/>
    <w:semiHidden/>
    <w:unhideWhenUsed/>
    <w:rsid w:val="00A64A65"/>
    <w:rPr>
      <w:b/>
      <w:bCs/>
    </w:rPr>
  </w:style>
  <w:style w:type="character" w:customStyle="1" w:styleId="AsuntodelcomentarioCar">
    <w:name w:val="Asunto del comentario Car"/>
    <w:basedOn w:val="TextocomentarioCar"/>
    <w:link w:val="Asuntodelcomentario"/>
    <w:uiPriority w:val="99"/>
    <w:semiHidden/>
    <w:rsid w:val="00A64A65"/>
    <w:rPr>
      <w:b/>
      <w:bCs/>
      <w:sz w:val="20"/>
      <w:szCs w:val="20"/>
    </w:rPr>
  </w:style>
  <w:style w:type="paragraph" w:styleId="Prrafodelista">
    <w:name w:val="List Paragraph"/>
    <w:basedOn w:val="Normal"/>
    <w:uiPriority w:val="34"/>
    <w:qFormat/>
    <w:rsid w:val="0096597C"/>
    <w:pPr>
      <w:ind w:left="720"/>
      <w:contextualSpacing/>
    </w:pPr>
  </w:style>
  <w:style w:type="character" w:customStyle="1" w:styleId="Ttulo1Car">
    <w:name w:val="Título 1 Car"/>
    <w:basedOn w:val="Fuentedeprrafopredeter"/>
    <w:link w:val="Ttulo1"/>
    <w:uiPriority w:val="9"/>
    <w:rsid w:val="00B61766"/>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
    <w:rsid w:val="00746D73"/>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22282">
      <w:bodyDiv w:val="1"/>
      <w:marLeft w:val="0"/>
      <w:marRight w:val="0"/>
      <w:marTop w:val="0"/>
      <w:marBottom w:val="0"/>
      <w:divBdr>
        <w:top w:val="none" w:sz="0" w:space="0" w:color="auto"/>
        <w:left w:val="none" w:sz="0" w:space="0" w:color="auto"/>
        <w:bottom w:val="none" w:sz="0" w:space="0" w:color="auto"/>
        <w:right w:val="none" w:sz="0" w:space="0" w:color="auto"/>
      </w:divBdr>
    </w:div>
    <w:div w:id="236211143">
      <w:bodyDiv w:val="1"/>
      <w:marLeft w:val="0"/>
      <w:marRight w:val="0"/>
      <w:marTop w:val="0"/>
      <w:marBottom w:val="0"/>
      <w:divBdr>
        <w:top w:val="none" w:sz="0" w:space="0" w:color="auto"/>
        <w:left w:val="none" w:sz="0" w:space="0" w:color="auto"/>
        <w:bottom w:val="none" w:sz="0" w:space="0" w:color="auto"/>
        <w:right w:val="none" w:sz="0" w:space="0" w:color="auto"/>
      </w:divBdr>
    </w:div>
    <w:div w:id="717826044">
      <w:bodyDiv w:val="1"/>
      <w:marLeft w:val="0"/>
      <w:marRight w:val="0"/>
      <w:marTop w:val="0"/>
      <w:marBottom w:val="0"/>
      <w:divBdr>
        <w:top w:val="none" w:sz="0" w:space="0" w:color="auto"/>
        <w:left w:val="none" w:sz="0" w:space="0" w:color="auto"/>
        <w:bottom w:val="none" w:sz="0" w:space="0" w:color="auto"/>
        <w:right w:val="none" w:sz="0" w:space="0" w:color="auto"/>
      </w:divBdr>
    </w:div>
    <w:div w:id="874347639">
      <w:bodyDiv w:val="1"/>
      <w:marLeft w:val="0"/>
      <w:marRight w:val="0"/>
      <w:marTop w:val="0"/>
      <w:marBottom w:val="0"/>
      <w:divBdr>
        <w:top w:val="none" w:sz="0" w:space="0" w:color="auto"/>
        <w:left w:val="none" w:sz="0" w:space="0" w:color="auto"/>
        <w:bottom w:val="none" w:sz="0" w:space="0" w:color="auto"/>
        <w:right w:val="none" w:sz="0" w:space="0" w:color="auto"/>
      </w:divBdr>
    </w:div>
    <w:div w:id="882640695">
      <w:bodyDiv w:val="1"/>
      <w:marLeft w:val="0"/>
      <w:marRight w:val="0"/>
      <w:marTop w:val="0"/>
      <w:marBottom w:val="0"/>
      <w:divBdr>
        <w:top w:val="none" w:sz="0" w:space="0" w:color="auto"/>
        <w:left w:val="none" w:sz="0" w:space="0" w:color="auto"/>
        <w:bottom w:val="none" w:sz="0" w:space="0" w:color="auto"/>
        <w:right w:val="none" w:sz="0" w:space="0" w:color="auto"/>
      </w:divBdr>
    </w:div>
    <w:div w:id="923298573">
      <w:bodyDiv w:val="1"/>
      <w:marLeft w:val="0"/>
      <w:marRight w:val="0"/>
      <w:marTop w:val="0"/>
      <w:marBottom w:val="0"/>
      <w:divBdr>
        <w:top w:val="none" w:sz="0" w:space="0" w:color="auto"/>
        <w:left w:val="none" w:sz="0" w:space="0" w:color="auto"/>
        <w:bottom w:val="none" w:sz="0" w:space="0" w:color="auto"/>
        <w:right w:val="none" w:sz="0" w:space="0" w:color="auto"/>
      </w:divBdr>
    </w:div>
    <w:div w:id="1047220981">
      <w:bodyDiv w:val="1"/>
      <w:marLeft w:val="0"/>
      <w:marRight w:val="0"/>
      <w:marTop w:val="0"/>
      <w:marBottom w:val="0"/>
      <w:divBdr>
        <w:top w:val="none" w:sz="0" w:space="0" w:color="auto"/>
        <w:left w:val="none" w:sz="0" w:space="0" w:color="auto"/>
        <w:bottom w:val="none" w:sz="0" w:space="0" w:color="auto"/>
        <w:right w:val="none" w:sz="0" w:space="0" w:color="auto"/>
      </w:divBdr>
    </w:div>
    <w:div w:id="1092582080">
      <w:bodyDiv w:val="1"/>
      <w:marLeft w:val="0"/>
      <w:marRight w:val="0"/>
      <w:marTop w:val="0"/>
      <w:marBottom w:val="0"/>
      <w:divBdr>
        <w:top w:val="none" w:sz="0" w:space="0" w:color="auto"/>
        <w:left w:val="none" w:sz="0" w:space="0" w:color="auto"/>
        <w:bottom w:val="none" w:sz="0" w:space="0" w:color="auto"/>
        <w:right w:val="none" w:sz="0" w:space="0" w:color="auto"/>
      </w:divBdr>
    </w:div>
    <w:div w:id="1320377340">
      <w:bodyDiv w:val="1"/>
      <w:marLeft w:val="0"/>
      <w:marRight w:val="0"/>
      <w:marTop w:val="0"/>
      <w:marBottom w:val="0"/>
      <w:divBdr>
        <w:top w:val="none" w:sz="0" w:space="0" w:color="auto"/>
        <w:left w:val="none" w:sz="0" w:space="0" w:color="auto"/>
        <w:bottom w:val="none" w:sz="0" w:space="0" w:color="auto"/>
        <w:right w:val="none" w:sz="0" w:space="0" w:color="auto"/>
      </w:divBdr>
    </w:div>
    <w:div w:id="1375689242">
      <w:bodyDiv w:val="1"/>
      <w:marLeft w:val="0"/>
      <w:marRight w:val="0"/>
      <w:marTop w:val="0"/>
      <w:marBottom w:val="0"/>
      <w:divBdr>
        <w:top w:val="none" w:sz="0" w:space="0" w:color="auto"/>
        <w:left w:val="none" w:sz="0" w:space="0" w:color="auto"/>
        <w:bottom w:val="none" w:sz="0" w:space="0" w:color="auto"/>
        <w:right w:val="none" w:sz="0" w:space="0" w:color="auto"/>
      </w:divBdr>
    </w:div>
    <w:div w:id="1984121541">
      <w:bodyDiv w:val="1"/>
      <w:marLeft w:val="0"/>
      <w:marRight w:val="0"/>
      <w:marTop w:val="0"/>
      <w:marBottom w:val="0"/>
      <w:divBdr>
        <w:top w:val="none" w:sz="0" w:space="0" w:color="auto"/>
        <w:left w:val="none" w:sz="0" w:space="0" w:color="auto"/>
        <w:bottom w:val="none" w:sz="0" w:space="0" w:color="auto"/>
        <w:right w:val="none" w:sz="0" w:space="0" w:color="auto"/>
      </w:divBdr>
    </w:div>
    <w:div w:id="210961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Hoja_de_c_lculo_de_Microsoft_Excel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Hoja_de_c_lculo_de_Microsoft_Excel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Hoja_de_c_lculo_de_Microsoft_Excel14.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Hoja_de_c_lculo_de_Microsoft_Excel15.xlsx"/><Relationship Id="rId1" Type="http://schemas.openxmlformats.org/officeDocument/2006/relationships/themeOverride" Target="../theme/themeOverride15.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Hoja_de_c_lculo_de_Microsoft_Excel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AACF-469A-84F7-9D774EC98D2E}"/>
              </c:ext>
            </c:extLst>
          </c:dPt>
          <c:dPt>
            <c:idx val="1"/>
            <c:invertIfNegative val="0"/>
            <c:bubble3D val="0"/>
            <c:spPr>
              <a:solidFill>
                <a:schemeClr val="accent5"/>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AACF-469A-84F7-9D774EC98D2E}"/>
              </c:ext>
            </c:extLst>
          </c:dPt>
          <c:cat>
            <c:strRef>
              <c:f>Hoja1!$A$2:$A$3</c:f>
              <c:strCache>
                <c:ptCount val="2"/>
                <c:pt idx="0">
                  <c:v>Mujeres</c:v>
                </c:pt>
                <c:pt idx="1">
                  <c:v>Hombres</c:v>
                </c:pt>
              </c:strCache>
            </c:strRef>
          </c:cat>
          <c:val>
            <c:numRef>
              <c:f>Hoja1!$B$2:$B$3</c:f>
              <c:numCache>
                <c:formatCode>General</c:formatCode>
                <c:ptCount val="2"/>
                <c:pt idx="0">
                  <c:v>20</c:v>
                </c:pt>
                <c:pt idx="1">
                  <c:v>5</c:v>
                </c:pt>
              </c:numCache>
            </c:numRef>
          </c:val>
          <c:extLst xmlns:c16r2="http://schemas.microsoft.com/office/drawing/2015/06/chart">
            <c:ext xmlns:c16="http://schemas.microsoft.com/office/drawing/2014/chart" uri="{C3380CC4-5D6E-409C-BE32-E72D297353CC}">
              <c16:uniqueId val="{00000004-AACF-469A-84F7-9D774EC98D2E}"/>
            </c:ext>
          </c:extLst>
        </c:ser>
        <c:dLbls>
          <c:showLegendKey val="0"/>
          <c:showVal val="0"/>
          <c:showCatName val="0"/>
          <c:showSerName val="0"/>
          <c:showPercent val="0"/>
          <c:showBubbleSize val="0"/>
        </c:dLbls>
        <c:gapWidth val="100"/>
        <c:axId val="217483624"/>
        <c:axId val="141847768"/>
      </c:barChart>
      <c:catAx>
        <c:axId val="217483624"/>
        <c:scaling>
          <c:orientation val="minMax"/>
        </c:scaling>
        <c:delete val="0"/>
        <c:axPos val="l"/>
        <c:numFmt formatCode="General" sourceLinked="1"/>
        <c:majorTickMark val="out"/>
        <c:minorTickMark val="none"/>
        <c:tickLblPos val="nextTo"/>
        <c:crossAx val="141847768"/>
        <c:crosses val="autoZero"/>
        <c:auto val="1"/>
        <c:lblAlgn val="ctr"/>
        <c:lblOffset val="100"/>
        <c:noMultiLvlLbl val="0"/>
      </c:catAx>
      <c:valAx>
        <c:axId val="141847768"/>
        <c:scaling>
          <c:orientation val="minMax"/>
        </c:scaling>
        <c:delete val="0"/>
        <c:axPos val="b"/>
        <c:majorGridlines/>
        <c:numFmt formatCode="General" sourceLinked="1"/>
        <c:majorTickMark val="out"/>
        <c:minorTickMark val="none"/>
        <c:tickLblPos val="nextTo"/>
        <c:crossAx val="217483624"/>
        <c:crosses val="autoZero"/>
        <c:crossBetween val="between"/>
      </c:valAx>
      <c:dTable>
        <c:showHorzBorder val="1"/>
        <c:showVertBorder val="1"/>
        <c:showOutline val="1"/>
        <c:showKeys val="1"/>
      </c:dTable>
    </c:plotArea>
    <c:legend>
      <c:legendPos val="r"/>
      <c:layout/>
      <c:overlay val="0"/>
      <c:spPr>
        <a:noFill/>
        <a:ln w="25392">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994005267413861"/>
          <c:y val="4.3264503441494594E-2"/>
          <c:w val="0.74175812360804294"/>
          <c:h val="0.32207743943511485"/>
        </c:manualLayout>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xmlns:c16r2="http://schemas.microsoft.com/office/drawing/2015/06/chart">
              <c:ext xmlns:c16="http://schemas.microsoft.com/office/drawing/2014/chart" uri="{C3380CC4-5D6E-409C-BE32-E72D297353CC}">
                <c16:uniqueId val="{00000001-C418-4D72-90BA-9C178E5ACF7C}"/>
              </c:ext>
            </c:extLst>
          </c:dPt>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2-C418-4D72-90BA-9C178E5ACF7C}"/>
            </c:ext>
          </c:extLst>
        </c:ser>
        <c:ser>
          <c:idx val="1"/>
          <c:order val="1"/>
          <c:tx>
            <c:strRef>
              <c:f>Hoja1!$C$1</c:f>
              <c:strCache>
                <c:ptCount val="1"/>
                <c:pt idx="0">
                  <c:v>Mujeres</c:v>
                </c:pt>
              </c:strCache>
            </c:strRef>
          </c:tx>
          <c:invertIfNegative val="0"/>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Hoja1!$C$2:$C$7</c:f>
              <c:numCache>
                <c:formatCode>General</c:formatCode>
                <c:ptCount val="6"/>
                <c:pt idx="0">
                  <c:v>13</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2-A74D-48C6-BE4F-0675B99FE40E}"/>
            </c:ext>
          </c:extLst>
        </c:ser>
        <c:ser>
          <c:idx val="2"/>
          <c:order val="2"/>
          <c:tx>
            <c:strRef>
              <c:f>Hoja1!$D$1</c:f>
              <c:strCache>
                <c:ptCount val="1"/>
                <c:pt idx="0">
                  <c:v>Hombres</c:v>
                </c:pt>
              </c:strCache>
            </c:strRef>
          </c:tx>
          <c:invertIfNegative val="0"/>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Hoja1!$D$2:$D$7</c:f>
              <c:numCache>
                <c:formatCode>General</c:formatCode>
                <c:ptCount val="6"/>
                <c:pt idx="0">
                  <c:v>1</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3-A74D-48C6-BE4F-0675B99FE40E}"/>
            </c:ext>
          </c:extLst>
        </c:ser>
        <c:dLbls>
          <c:showLegendKey val="0"/>
          <c:showVal val="0"/>
          <c:showCatName val="0"/>
          <c:showSerName val="0"/>
          <c:showPercent val="0"/>
          <c:showBubbleSize val="0"/>
        </c:dLbls>
        <c:gapWidth val="100"/>
        <c:axId val="220998368"/>
        <c:axId val="220998760"/>
      </c:barChart>
      <c:catAx>
        <c:axId val="220998368"/>
        <c:scaling>
          <c:orientation val="minMax"/>
        </c:scaling>
        <c:delete val="0"/>
        <c:axPos val="l"/>
        <c:numFmt formatCode="General" sourceLinked="1"/>
        <c:majorTickMark val="out"/>
        <c:minorTickMark val="none"/>
        <c:tickLblPos val="nextTo"/>
        <c:crossAx val="220998760"/>
        <c:crosses val="autoZero"/>
        <c:auto val="1"/>
        <c:lblAlgn val="ctr"/>
        <c:lblOffset val="100"/>
        <c:noMultiLvlLbl val="0"/>
      </c:catAx>
      <c:valAx>
        <c:axId val="220998760"/>
        <c:scaling>
          <c:orientation val="minMax"/>
        </c:scaling>
        <c:delete val="0"/>
        <c:axPos val="b"/>
        <c:majorGridlines/>
        <c:numFmt formatCode="General" sourceLinked="1"/>
        <c:majorTickMark val="out"/>
        <c:minorTickMark val="none"/>
        <c:tickLblPos val="nextTo"/>
        <c:crossAx val="220998368"/>
        <c:crosses val="autoZero"/>
        <c:crossBetween val="between"/>
      </c:valAx>
      <c:dTable>
        <c:showHorzBorder val="1"/>
        <c:showVertBorder val="1"/>
        <c:showOutline val="1"/>
        <c:showKeys val="1"/>
      </c:dTable>
    </c:plotArea>
    <c:legend>
      <c:legendPos val="b"/>
      <c:layout/>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a:pPr>
            <a:r>
              <a:rPr lang="es-MX"/>
              <a:t>Canalizaciones</a:t>
            </a:r>
          </a:p>
        </c:rich>
      </c:tx>
      <c:layout/>
      <c:overlay val="0"/>
    </c:title>
    <c:autoTitleDeleted val="0"/>
    <c:plotArea>
      <c:layout/>
      <c:barChart>
        <c:barDir val="bar"/>
        <c:grouping val="clustered"/>
        <c:varyColors val="0"/>
        <c:ser>
          <c:idx val="0"/>
          <c:order val="0"/>
          <c:tx>
            <c:strRef>
              <c:f>Hoja1!$B$1</c:f>
              <c:strCache>
                <c:ptCount val="1"/>
                <c:pt idx="0">
                  <c:v>Canalización</c:v>
                </c:pt>
              </c:strCache>
            </c:strRef>
          </c:tx>
          <c:spPr>
            <a:solidFill>
              <a:srgbClr val="FFC000"/>
            </a:solidFill>
            <a:ln w="25404">
              <a:noFill/>
            </a:ln>
          </c:spPr>
          <c:invertIfNegative val="0"/>
          <c:cat>
            <c:strRef>
              <c:f>Hoja1!$A$2:$A$3</c:f>
              <c:strCache>
                <c:ptCount val="2"/>
                <c:pt idx="0">
                  <c:v>Orientación psicológica</c:v>
                </c:pt>
                <c:pt idx="1">
                  <c:v>Asesoría jurídica </c:v>
                </c:pt>
              </c:strCache>
            </c:strRef>
          </c:cat>
          <c:val>
            <c:numRef>
              <c:f>Hoja1!$B$2:$B$3</c:f>
              <c:numCache>
                <c:formatCode>General</c:formatCode>
                <c:ptCount val="2"/>
                <c:pt idx="0">
                  <c:v>19</c:v>
                </c:pt>
                <c:pt idx="1">
                  <c:v>7</c:v>
                </c:pt>
              </c:numCache>
            </c:numRef>
          </c:val>
          <c:extLst xmlns:c16r2="http://schemas.microsoft.com/office/drawing/2015/06/chart">
            <c:ext xmlns:c16="http://schemas.microsoft.com/office/drawing/2014/chart" uri="{C3380CC4-5D6E-409C-BE32-E72D297353CC}">
              <c16:uniqueId val="{00000000-3DD0-45C8-B8CF-A18F5CCC8AC4}"/>
            </c:ext>
          </c:extLst>
        </c:ser>
        <c:dLbls>
          <c:showLegendKey val="0"/>
          <c:showVal val="0"/>
          <c:showCatName val="0"/>
          <c:showSerName val="0"/>
          <c:showPercent val="0"/>
          <c:showBubbleSize val="0"/>
        </c:dLbls>
        <c:gapWidth val="150"/>
        <c:axId val="302393712"/>
        <c:axId val="302393320"/>
      </c:barChart>
      <c:catAx>
        <c:axId val="302393712"/>
        <c:scaling>
          <c:orientation val="minMax"/>
        </c:scaling>
        <c:delete val="0"/>
        <c:axPos val="l"/>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302393320"/>
        <c:crosses val="autoZero"/>
        <c:auto val="1"/>
        <c:lblAlgn val="ctr"/>
        <c:lblOffset val="100"/>
        <c:noMultiLvlLbl val="0"/>
      </c:catAx>
      <c:valAx>
        <c:axId val="302393320"/>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302393712"/>
        <c:crosses val="autoZero"/>
        <c:crossBetween val="between"/>
        <c:majorUnit val="1"/>
      </c:valAx>
      <c:dTable>
        <c:showHorzBorder val="1"/>
        <c:showVertBorder val="1"/>
        <c:showOutline val="1"/>
        <c:showKeys val="1"/>
        <c:txPr>
          <a:bodyPr/>
          <a:lstStyle/>
          <a:p>
            <a:pPr rtl="0">
              <a:defRPr sz="801"/>
            </a:pPr>
            <a:endParaRPr lang="es-MX"/>
          </a:p>
        </c:txPr>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Hoja1!$B$1</c:f>
              <c:strCache>
                <c:ptCount val="1"/>
                <c:pt idx="0">
                  <c:v>MUJERES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16" cap="flat" cmpd="sng" algn="ctr">
              <a:solidFill>
                <a:schemeClr val="accent1">
                  <a:shade val="95000"/>
                </a:schemeClr>
              </a:solidFill>
              <a:round/>
            </a:ln>
            <a:effectLst/>
          </c:spPr>
          <c:invertIfNegative val="0"/>
          <c:cat>
            <c:strRef>
              <c:f>Hoja1!$A$2</c:f>
              <c:strCache>
                <c:ptCount val="1"/>
                <c:pt idx="0">
                  <c:v>Seis talleres "Prevención de violencia" en Población abierta.</c:v>
                </c:pt>
              </c:strCache>
            </c:strRef>
          </c:cat>
          <c:val>
            <c:numRef>
              <c:f>Hoja1!$B$2</c:f>
              <c:numCache>
                <c:formatCode>General</c:formatCode>
                <c:ptCount val="1"/>
                <c:pt idx="0">
                  <c:v>91</c:v>
                </c:pt>
              </c:numCache>
            </c:numRef>
          </c:val>
        </c:ser>
        <c:ser>
          <c:idx val="1"/>
          <c:order val="1"/>
          <c:tx>
            <c:strRef>
              <c:f>Hoja1!$C$1</c:f>
              <c:strCache>
                <c:ptCount val="1"/>
                <c:pt idx="0">
                  <c:v>HOMBRES</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16" cap="flat" cmpd="sng" algn="ctr">
              <a:solidFill>
                <a:schemeClr val="accent2">
                  <a:shade val="95000"/>
                </a:schemeClr>
              </a:solidFill>
              <a:round/>
            </a:ln>
            <a:effectLst/>
          </c:spPr>
          <c:invertIfNegative val="0"/>
          <c:cat>
            <c:strRef>
              <c:f>Hoja1!$A$2</c:f>
              <c:strCache>
                <c:ptCount val="1"/>
                <c:pt idx="0">
                  <c:v>Seis talleres "Prevención de violencia" en Población abierta.</c:v>
                </c:pt>
              </c:strCache>
            </c:strRef>
          </c:cat>
          <c:val>
            <c:numRef>
              <c:f>Hoja1!$C$2</c:f>
              <c:numCache>
                <c:formatCode>General</c:formatCode>
                <c:ptCount val="1"/>
                <c:pt idx="0">
                  <c:v>0</c:v>
                </c:pt>
              </c:numCache>
            </c:numRef>
          </c:val>
        </c:ser>
        <c:dLbls>
          <c:showLegendKey val="0"/>
          <c:showVal val="0"/>
          <c:showCatName val="0"/>
          <c:showSerName val="0"/>
          <c:showPercent val="0"/>
          <c:showBubbleSize val="0"/>
        </c:dLbls>
        <c:gapWidth val="100"/>
        <c:overlap val="-24"/>
        <c:axId val="297533880"/>
        <c:axId val="297534272"/>
      </c:barChart>
      <c:catAx>
        <c:axId val="297533880"/>
        <c:scaling>
          <c:orientation val="minMax"/>
        </c:scaling>
        <c:delete val="0"/>
        <c:axPos val="b"/>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50000"/>
                    <a:lumOff val="50000"/>
                  </a:schemeClr>
                </a:solidFill>
                <a:latin typeface="+mn-lt"/>
                <a:ea typeface="+mn-ea"/>
                <a:cs typeface="+mn-cs"/>
              </a:defRPr>
            </a:pPr>
            <a:endParaRPr lang="es-MX"/>
          </a:p>
        </c:txPr>
        <c:crossAx val="297534272"/>
        <c:crosses val="autoZero"/>
        <c:auto val="1"/>
        <c:lblAlgn val="ctr"/>
        <c:lblOffset val="100"/>
        <c:noMultiLvlLbl val="0"/>
      </c:catAx>
      <c:valAx>
        <c:axId val="297534272"/>
        <c:scaling>
          <c:orientation val="minMax"/>
        </c:scaling>
        <c:delete val="0"/>
        <c:axPos val="l"/>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50000"/>
                    <a:lumOff val="50000"/>
                  </a:schemeClr>
                </a:solidFill>
                <a:latin typeface="+mn-lt"/>
                <a:ea typeface="+mn-ea"/>
                <a:cs typeface="+mn-cs"/>
              </a:defRPr>
            </a:pPr>
            <a:endParaRPr lang="es-MX"/>
          </a:p>
        </c:txPr>
        <c:crossAx val="297533880"/>
        <c:crosses val="autoZero"/>
        <c:crossBetween val="between"/>
      </c:valAx>
      <c:dTable>
        <c:showHorzBorder val="1"/>
        <c:showVertBorder val="1"/>
        <c:showOutline val="1"/>
        <c:showKeys val="1"/>
        <c:spPr>
          <a:noFill/>
          <a:ln w="9516">
            <a:solidFill>
              <a:schemeClr val="tx1">
                <a:lumMod val="15000"/>
                <a:lumOff val="85000"/>
              </a:schemeClr>
            </a:solidFill>
          </a:ln>
          <a:effectLst/>
        </c:spPr>
        <c:txPr>
          <a:bodyPr rot="0" spcFirstLastPara="1" vertOverflow="ellipsis" vert="horz" wrap="square" anchor="ctr" anchorCtr="1"/>
          <a:lstStyle/>
          <a:p>
            <a:pPr rtl="0">
              <a:defRPr sz="899" b="0" i="0" u="none" strike="noStrike" kern="1200" baseline="0">
                <a:solidFill>
                  <a:schemeClr val="tx1"/>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r>
              <a:rPr lang="es-MX" b="1"/>
              <a:t>EDADES</a:t>
            </a:r>
          </a:p>
        </c:rich>
      </c:tx>
      <c:layout/>
      <c:overlay val="0"/>
      <c:spPr>
        <a:noFill/>
        <a:ln w="25385">
          <a:noFill/>
        </a:ln>
      </c:spPr>
    </c:title>
    <c:autoTitleDeleted val="0"/>
    <c:plotArea>
      <c:layout>
        <c:manualLayout>
          <c:layoutTarget val="inner"/>
          <c:xMode val="edge"/>
          <c:yMode val="edge"/>
          <c:x val="0.2285607973180129"/>
          <c:y val="6.4753468316460436E-2"/>
          <c:w val="0.75064197564559199"/>
          <c:h val="0.66345546092452734"/>
        </c:manualLayout>
      </c:layout>
      <c:barChart>
        <c:barDir val="col"/>
        <c:grouping val="clustered"/>
        <c:varyColors val="0"/>
        <c:ser>
          <c:idx val="0"/>
          <c:order val="0"/>
          <c:tx>
            <c:strRef>
              <c:f>Hoja1!$B$1</c:f>
              <c:strCache>
                <c:ptCount val="1"/>
                <c:pt idx="0">
                  <c:v>0 A 14 AÑOS</c:v>
                </c:pt>
              </c:strCache>
            </c:strRef>
          </c:tx>
          <c:spPr>
            <a:solidFill>
              <a:srgbClr val="5B9BD5"/>
            </a:solidFill>
            <a:ln w="25385">
              <a:noFill/>
            </a:ln>
          </c:spPr>
          <c:invertIfNegative val="0"/>
          <c:cat>
            <c:strRef>
              <c:f>Hoja1!$A$2</c:f>
              <c:strCache>
                <c:ptCount val="1"/>
                <c:pt idx="0">
                  <c:v>Mujeres</c:v>
                </c:pt>
              </c:strCache>
            </c:strRef>
          </c:cat>
          <c:val>
            <c:numRef>
              <c:f>Hoja1!$B$2</c:f>
              <c:numCache>
                <c:formatCode>General</c:formatCode>
                <c:ptCount val="1"/>
                <c:pt idx="0">
                  <c:v>0</c:v>
                </c:pt>
              </c:numCache>
            </c:numRef>
          </c:val>
        </c:ser>
        <c:ser>
          <c:idx val="1"/>
          <c:order val="1"/>
          <c:tx>
            <c:strRef>
              <c:f>Hoja1!$C$1</c:f>
              <c:strCache>
                <c:ptCount val="1"/>
                <c:pt idx="0">
                  <c:v>15 A 29 AÑOS</c:v>
                </c:pt>
              </c:strCache>
            </c:strRef>
          </c:tx>
          <c:spPr>
            <a:solidFill>
              <a:srgbClr val="ED7D31"/>
            </a:solidFill>
            <a:ln w="25385">
              <a:noFill/>
            </a:ln>
          </c:spPr>
          <c:invertIfNegative val="0"/>
          <c:cat>
            <c:strRef>
              <c:f>Hoja1!$A$2</c:f>
              <c:strCache>
                <c:ptCount val="1"/>
                <c:pt idx="0">
                  <c:v>Mujeres</c:v>
                </c:pt>
              </c:strCache>
            </c:strRef>
          </c:cat>
          <c:val>
            <c:numRef>
              <c:f>Hoja1!$C$2</c:f>
              <c:numCache>
                <c:formatCode>General</c:formatCode>
                <c:ptCount val="1"/>
                <c:pt idx="0">
                  <c:v>2</c:v>
                </c:pt>
              </c:numCache>
            </c:numRef>
          </c:val>
        </c:ser>
        <c:ser>
          <c:idx val="2"/>
          <c:order val="2"/>
          <c:tx>
            <c:strRef>
              <c:f>Hoja1!$D$1</c:f>
              <c:strCache>
                <c:ptCount val="1"/>
                <c:pt idx="0">
                  <c:v>30 A 44 AÑOS</c:v>
                </c:pt>
              </c:strCache>
            </c:strRef>
          </c:tx>
          <c:spPr>
            <a:solidFill>
              <a:srgbClr val="A5A5A5"/>
            </a:solidFill>
            <a:ln w="25385">
              <a:noFill/>
            </a:ln>
          </c:spPr>
          <c:invertIfNegative val="0"/>
          <c:cat>
            <c:strRef>
              <c:f>Hoja1!$A$2</c:f>
              <c:strCache>
                <c:ptCount val="1"/>
                <c:pt idx="0">
                  <c:v>Mujeres</c:v>
                </c:pt>
              </c:strCache>
            </c:strRef>
          </c:cat>
          <c:val>
            <c:numRef>
              <c:f>Hoja1!$D$2</c:f>
              <c:numCache>
                <c:formatCode>General</c:formatCode>
                <c:ptCount val="1"/>
                <c:pt idx="0">
                  <c:v>28</c:v>
                </c:pt>
              </c:numCache>
            </c:numRef>
          </c:val>
        </c:ser>
        <c:ser>
          <c:idx val="3"/>
          <c:order val="3"/>
          <c:tx>
            <c:strRef>
              <c:f>Hoja1!$E$1</c:f>
              <c:strCache>
                <c:ptCount val="1"/>
                <c:pt idx="0">
                  <c:v>45 A 59 AÑOS</c:v>
                </c:pt>
              </c:strCache>
            </c:strRef>
          </c:tx>
          <c:spPr>
            <a:solidFill>
              <a:srgbClr val="FFC000"/>
            </a:solidFill>
            <a:ln w="25385">
              <a:noFill/>
            </a:ln>
          </c:spPr>
          <c:invertIfNegative val="0"/>
          <c:cat>
            <c:strRef>
              <c:f>Hoja1!$A$2</c:f>
              <c:strCache>
                <c:ptCount val="1"/>
                <c:pt idx="0">
                  <c:v>Mujeres</c:v>
                </c:pt>
              </c:strCache>
            </c:strRef>
          </c:cat>
          <c:val>
            <c:numRef>
              <c:f>Hoja1!$E$2</c:f>
              <c:numCache>
                <c:formatCode>General</c:formatCode>
                <c:ptCount val="1"/>
                <c:pt idx="0">
                  <c:v>21</c:v>
                </c:pt>
              </c:numCache>
            </c:numRef>
          </c:val>
        </c:ser>
        <c:ser>
          <c:idx val="4"/>
          <c:order val="4"/>
          <c:tx>
            <c:strRef>
              <c:f>Hoja1!$F$1</c:f>
              <c:strCache>
                <c:ptCount val="1"/>
                <c:pt idx="0">
                  <c:v>60 O MAS AÑOS</c:v>
                </c:pt>
              </c:strCache>
            </c:strRef>
          </c:tx>
          <c:spPr>
            <a:solidFill>
              <a:srgbClr val="4472C4"/>
            </a:solidFill>
            <a:ln w="25385">
              <a:noFill/>
            </a:ln>
          </c:spPr>
          <c:invertIfNegative val="0"/>
          <c:cat>
            <c:strRef>
              <c:f>Hoja1!$A$2</c:f>
              <c:strCache>
                <c:ptCount val="1"/>
                <c:pt idx="0">
                  <c:v>Mujeres</c:v>
                </c:pt>
              </c:strCache>
            </c:strRef>
          </c:cat>
          <c:val>
            <c:numRef>
              <c:f>Hoja1!$F$2</c:f>
              <c:numCache>
                <c:formatCode>General</c:formatCode>
                <c:ptCount val="1"/>
                <c:pt idx="0">
                  <c:v>1</c:v>
                </c:pt>
              </c:numCache>
            </c:numRef>
          </c:val>
        </c:ser>
        <c:ser>
          <c:idx val="5"/>
          <c:order val="5"/>
          <c:tx>
            <c:strRef>
              <c:f>Hoja1!$G$1</c:f>
              <c:strCache>
                <c:ptCount val="1"/>
                <c:pt idx="0">
                  <c:v>NP</c:v>
                </c:pt>
              </c:strCache>
            </c:strRef>
          </c:tx>
          <c:invertIfNegative val="0"/>
          <c:cat>
            <c:strRef>
              <c:f>Hoja1!$A$2</c:f>
              <c:strCache>
                <c:ptCount val="1"/>
                <c:pt idx="0">
                  <c:v>Mujeres</c:v>
                </c:pt>
              </c:strCache>
            </c:strRef>
          </c:cat>
          <c:val>
            <c:numRef>
              <c:f>Hoja1!$G$2</c:f>
              <c:numCache>
                <c:formatCode>General</c:formatCode>
                <c:ptCount val="1"/>
                <c:pt idx="0">
                  <c:v>39</c:v>
                </c:pt>
              </c:numCache>
            </c:numRef>
          </c:val>
        </c:ser>
        <c:dLbls>
          <c:showLegendKey val="0"/>
          <c:showVal val="0"/>
          <c:showCatName val="0"/>
          <c:showSerName val="0"/>
          <c:showPercent val="0"/>
          <c:showBubbleSize val="0"/>
        </c:dLbls>
        <c:gapWidth val="219"/>
        <c:overlap val="-27"/>
        <c:axId val="297535840"/>
        <c:axId val="297536232"/>
      </c:barChart>
      <c:catAx>
        <c:axId val="297535840"/>
        <c:scaling>
          <c:orientation val="minMax"/>
        </c:scaling>
        <c:delete val="0"/>
        <c:axPos val="b"/>
        <c:numFmt formatCode="General" sourceLinked="1"/>
        <c:majorTickMark val="none"/>
        <c:minorTickMark val="none"/>
        <c:tickLblPos val="nextTo"/>
        <c:spPr>
          <a:noFill/>
          <a:ln w="9520"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97536232"/>
        <c:crosses val="autoZero"/>
        <c:auto val="1"/>
        <c:lblAlgn val="ctr"/>
        <c:lblOffset val="100"/>
        <c:noMultiLvlLbl val="0"/>
      </c:catAx>
      <c:valAx>
        <c:axId val="297536232"/>
        <c:scaling>
          <c:orientation val="minMax"/>
        </c:scaling>
        <c:delete val="0"/>
        <c:axPos val="l"/>
        <c:majorGridlines>
          <c:spPr>
            <a:ln w="9520" cap="flat" cmpd="sng" algn="ctr">
              <a:solidFill>
                <a:schemeClr val="tx1">
                  <a:lumMod val="15000"/>
                  <a:lumOff val="85000"/>
                </a:schemeClr>
              </a:solidFill>
              <a:round/>
            </a:ln>
            <a:effectLst/>
          </c:spPr>
        </c:majorGridlines>
        <c:numFmt formatCode="General" sourceLinked="1"/>
        <c:majorTickMark val="none"/>
        <c:minorTickMark val="none"/>
        <c:tickLblPos val="nextTo"/>
        <c:spPr>
          <a:ln w="6346">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97535840"/>
        <c:crosses val="autoZero"/>
        <c:crossBetween val="between"/>
      </c:valAx>
      <c:dTable>
        <c:showHorzBorder val="1"/>
        <c:showVertBorder val="1"/>
        <c:showOutline val="1"/>
        <c:showKeys val="1"/>
        <c:txPr>
          <a:bodyPr/>
          <a:lstStyle/>
          <a:p>
            <a:pPr rtl="0">
              <a:defRPr>
                <a:solidFill>
                  <a:schemeClr val="tx1"/>
                </a:solidFill>
              </a:defRPr>
            </a:pPr>
            <a:endParaRPr lang="es-MX"/>
          </a:p>
        </c:txPr>
      </c:dTable>
      <c:spPr>
        <a:noFill/>
        <a:ln w="25385">
          <a:noFill/>
        </a:ln>
      </c:spPr>
    </c:plotArea>
    <c:legend>
      <c:legendPos val="b"/>
      <c:layout/>
      <c:overlay val="0"/>
      <c:spPr>
        <a:noFill/>
        <a:ln w="25385">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0"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Ocupación</a:t>
            </a:r>
            <a:r>
              <a:rPr lang="en-US" baseline="0"/>
              <a:t> talleres </a:t>
            </a:r>
            <a:r>
              <a:rPr lang="en-US"/>
              <a:t>"Prevenció</a:t>
            </a:r>
            <a:r>
              <a:rPr lang="en-US" baseline="0"/>
              <a:t>n de violencia</a:t>
            </a:r>
            <a:r>
              <a:rPr lang="en-US"/>
              <a:t>"</a:t>
            </a:r>
          </a:p>
        </c:rich>
      </c:tx>
      <c:layout>
        <c:manualLayout>
          <c:xMode val="edge"/>
          <c:yMode val="edge"/>
          <c:x val="0.21266064695817069"/>
          <c:y val="0"/>
        </c:manualLayout>
      </c:layout>
      <c:overlay val="0"/>
    </c:title>
    <c:autoTitleDeleted val="0"/>
    <c:plotArea>
      <c:layout>
        <c:manualLayout>
          <c:layoutTarget val="inner"/>
          <c:xMode val="edge"/>
          <c:yMode val="edge"/>
          <c:x val="0.30679457962035511"/>
          <c:y val="2.9920636775002531E-2"/>
          <c:w val="0.66085417832303028"/>
          <c:h val="0.7872900457175791"/>
        </c:manualLayout>
      </c:layout>
      <c:barChart>
        <c:barDir val="col"/>
        <c:grouping val="clustered"/>
        <c:varyColors val="0"/>
        <c:ser>
          <c:idx val="0"/>
          <c:order val="0"/>
          <c:tx>
            <c:strRef>
              <c:f>Hoja1!$B$1</c:f>
              <c:strCache>
                <c:ptCount val="1"/>
                <c:pt idx="0">
                  <c:v>6 Talleres Población Abierta "Prevención de violencia"</c:v>
                </c:pt>
              </c:strCache>
            </c:strRef>
          </c:tx>
          <c:spPr>
            <a:solidFill>
              <a:schemeClr val="accent1"/>
            </a:solidFill>
            <a:ln w="19033">
              <a:solidFill>
                <a:schemeClr val="lt1"/>
              </a:solidFill>
            </a:ln>
            <a:effectLst/>
          </c:spPr>
          <c:invertIfNegative val="0"/>
          <c:cat>
            <c:strRef>
              <c:f>Hoja1!$A$2:$A$5</c:f>
              <c:strCache>
                <c:ptCount val="4"/>
                <c:pt idx="0">
                  <c:v>Hogar</c:v>
                </c:pt>
                <c:pt idx="1">
                  <c:v>Empleada/o</c:v>
                </c:pt>
                <c:pt idx="2">
                  <c:v>No presentó</c:v>
                </c:pt>
                <c:pt idx="3">
                  <c:v>Comerciente</c:v>
                </c:pt>
              </c:strCache>
            </c:strRef>
          </c:cat>
          <c:val>
            <c:numRef>
              <c:f>Hoja1!$B$2:$B$5</c:f>
              <c:numCache>
                <c:formatCode>General</c:formatCode>
                <c:ptCount val="4"/>
                <c:pt idx="0">
                  <c:v>0</c:v>
                </c:pt>
                <c:pt idx="1">
                  <c:v>0</c:v>
                </c:pt>
                <c:pt idx="2">
                  <c:v>0</c:v>
                </c:pt>
              </c:numCache>
            </c:numRef>
          </c:val>
        </c:ser>
        <c:ser>
          <c:idx val="1"/>
          <c:order val="1"/>
          <c:tx>
            <c:strRef>
              <c:f>Hoja1!$C$1</c:f>
              <c:strCache>
                <c:ptCount val="1"/>
                <c:pt idx="0">
                  <c:v>Mujeres</c:v>
                </c:pt>
              </c:strCache>
            </c:strRef>
          </c:tx>
          <c:invertIfNegative val="0"/>
          <c:cat>
            <c:strRef>
              <c:f>Hoja1!$A$2:$A$5</c:f>
              <c:strCache>
                <c:ptCount val="4"/>
                <c:pt idx="0">
                  <c:v>Hogar</c:v>
                </c:pt>
                <c:pt idx="1">
                  <c:v>Empleada/o</c:v>
                </c:pt>
                <c:pt idx="2">
                  <c:v>No presentó</c:v>
                </c:pt>
                <c:pt idx="3">
                  <c:v>Comerciente</c:v>
                </c:pt>
              </c:strCache>
            </c:strRef>
          </c:cat>
          <c:val>
            <c:numRef>
              <c:f>Hoja1!$C$2:$C$5</c:f>
              <c:numCache>
                <c:formatCode>General</c:formatCode>
                <c:ptCount val="4"/>
                <c:pt idx="0">
                  <c:v>54</c:v>
                </c:pt>
                <c:pt idx="1">
                  <c:v>6</c:v>
                </c:pt>
                <c:pt idx="2">
                  <c:v>29</c:v>
                </c:pt>
                <c:pt idx="3">
                  <c:v>2</c:v>
                </c:pt>
              </c:numCache>
            </c:numRef>
          </c:val>
        </c:ser>
        <c:dLbls>
          <c:showLegendKey val="0"/>
          <c:showVal val="0"/>
          <c:showCatName val="0"/>
          <c:showSerName val="0"/>
          <c:showPercent val="0"/>
          <c:showBubbleSize val="0"/>
        </c:dLbls>
        <c:gapWidth val="150"/>
        <c:axId val="222162856"/>
        <c:axId val="222163248"/>
      </c:barChart>
      <c:catAx>
        <c:axId val="222162856"/>
        <c:scaling>
          <c:orientation val="minMax"/>
        </c:scaling>
        <c:delete val="0"/>
        <c:axPos val="b"/>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199" b="0" i="0" u="none" strike="noStrike" kern="1200" baseline="0">
                <a:solidFill>
                  <a:schemeClr val="tx1">
                    <a:lumMod val="65000"/>
                    <a:lumOff val="35000"/>
                  </a:schemeClr>
                </a:solidFill>
                <a:latin typeface="+mn-lt"/>
                <a:ea typeface="+mn-ea"/>
                <a:cs typeface="+mn-cs"/>
              </a:defRPr>
            </a:pPr>
            <a:endParaRPr lang="es-MX"/>
          </a:p>
        </c:txPr>
        <c:crossAx val="222163248"/>
        <c:crosses val="autoZero"/>
        <c:auto val="1"/>
        <c:lblAlgn val="ctr"/>
        <c:lblOffset val="100"/>
        <c:noMultiLvlLbl val="0"/>
      </c:catAx>
      <c:valAx>
        <c:axId val="222163248"/>
        <c:scaling>
          <c:orientation val="minMax"/>
        </c:scaling>
        <c:delete val="0"/>
        <c:axPos val="l"/>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199" b="0" i="0" u="none" strike="noStrike" kern="1200" baseline="0">
                <a:solidFill>
                  <a:schemeClr val="tx1">
                    <a:lumMod val="65000"/>
                    <a:lumOff val="35000"/>
                  </a:schemeClr>
                </a:solidFill>
                <a:latin typeface="+mn-lt"/>
                <a:ea typeface="+mn-ea"/>
                <a:cs typeface="+mn-cs"/>
              </a:defRPr>
            </a:pPr>
            <a:endParaRPr lang="es-MX"/>
          </a:p>
        </c:txPr>
        <c:crossAx val="222162856"/>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7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199"/>
      </a:pPr>
      <a:endParaRPr lang="es-MX"/>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Dependencia/Lugar Procedencia 6 talleres "Prevención de violencia"</c:v>
                </c:pt>
              </c:strCache>
            </c:strRef>
          </c:tx>
          <c:spPr>
            <a:solidFill>
              <a:srgbClr val="70AD47"/>
            </a:solidFill>
            <a:ln w="25379">
              <a:noFill/>
            </a:ln>
          </c:spPr>
          <c:invertIfNegative val="0"/>
          <c:cat>
            <c:strRef>
              <c:f>Hoja1!$A$2:$A$3</c:f>
              <c:strCache>
                <c:ptCount val="2"/>
                <c:pt idx="0">
                  <c:v>San Martín de Hidalgo</c:v>
                </c:pt>
                <c:pt idx="1">
                  <c:v>Mujeres</c:v>
                </c:pt>
              </c:strCache>
            </c:strRef>
          </c:cat>
          <c:val>
            <c:numRef>
              <c:f>Hoja1!$B$2:$B$3</c:f>
              <c:numCache>
                <c:formatCode>General</c:formatCode>
                <c:ptCount val="2"/>
                <c:pt idx="0">
                  <c:v>91</c:v>
                </c:pt>
                <c:pt idx="1">
                  <c:v>91</c:v>
                </c:pt>
              </c:numCache>
            </c:numRef>
          </c:val>
        </c:ser>
        <c:dLbls>
          <c:showLegendKey val="0"/>
          <c:showVal val="0"/>
          <c:showCatName val="0"/>
          <c:showSerName val="0"/>
          <c:showPercent val="0"/>
          <c:showBubbleSize val="0"/>
        </c:dLbls>
        <c:gapWidth val="219"/>
        <c:axId val="222164424"/>
        <c:axId val="222164816"/>
      </c:barChart>
      <c:catAx>
        <c:axId val="222164424"/>
        <c:scaling>
          <c:orientation val="minMax"/>
        </c:scaling>
        <c:delete val="0"/>
        <c:axPos val="l"/>
        <c:numFmt formatCode="General" sourceLinked="1"/>
        <c:majorTickMark val="none"/>
        <c:minorTickMark val="none"/>
        <c:tickLblPos val="nextTo"/>
        <c:spPr>
          <a:noFill/>
          <a:ln w="9517" cap="flat" cmpd="sng" algn="ctr">
            <a:solidFill>
              <a:schemeClr val="tx1">
                <a:lumMod val="15000"/>
                <a:lumOff val="85000"/>
              </a:schemeClr>
            </a:solidFill>
            <a:round/>
          </a:ln>
          <a:effectLst/>
        </c:spPr>
        <c:txPr>
          <a:bodyPr rot="-60000000" spcFirstLastPara="1" vertOverflow="ellipsis" vert="horz" wrap="square" anchor="ctr" anchorCtr="1"/>
          <a:lstStyle/>
          <a:p>
            <a:pPr>
              <a:defRPr sz="699" b="0" i="0" u="none" strike="noStrike" kern="1200" baseline="0">
                <a:solidFill>
                  <a:schemeClr val="tx1">
                    <a:lumMod val="65000"/>
                    <a:lumOff val="35000"/>
                  </a:schemeClr>
                </a:solidFill>
                <a:latin typeface="+mn-lt"/>
                <a:ea typeface="+mn-ea"/>
                <a:cs typeface="+mn-cs"/>
              </a:defRPr>
            </a:pPr>
            <a:endParaRPr lang="es-MX"/>
          </a:p>
        </c:txPr>
        <c:crossAx val="222164816"/>
        <c:crosses val="autoZero"/>
        <c:auto val="1"/>
        <c:lblAlgn val="ctr"/>
        <c:lblOffset val="100"/>
        <c:noMultiLvlLbl val="0"/>
      </c:catAx>
      <c:valAx>
        <c:axId val="222164816"/>
        <c:scaling>
          <c:orientation val="minMax"/>
        </c:scaling>
        <c:delete val="0"/>
        <c:axPos val="b"/>
        <c:majorGridlines>
          <c:spPr>
            <a:ln w="9517" cap="flat" cmpd="sng" algn="ctr">
              <a:solidFill>
                <a:schemeClr val="tx1">
                  <a:lumMod val="15000"/>
                  <a:lumOff val="85000"/>
                </a:schemeClr>
              </a:solidFill>
              <a:round/>
            </a:ln>
            <a:effectLst/>
          </c:spPr>
        </c:majorGridlines>
        <c:numFmt formatCode="General" sourceLinked="1"/>
        <c:majorTickMark val="none"/>
        <c:minorTickMark val="none"/>
        <c:tickLblPos val="nextTo"/>
        <c:spPr>
          <a:ln w="6345">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22164424"/>
        <c:crosses val="autoZero"/>
        <c:crossBetween val="between"/>
      </c:valAx>
      <c:dTable>
        <c:showHorzBorder val="1"/>
        <c:showVertBorder val="1"/>
        <c:showOutline val="1"/>
        <c:showKeys val="1"/>
        <c:spPr>
          <a:noFill/>
          <a:ln w="9517" cap="flat" cmpd="sng" algn="ctr">
            <a:solidFill>
              <a:schemeClr val="tx1">
                <a:lumMod val="15000"/>
                <a:lumOff val="85000"/>
              </a:schemeClr>
            </a:solidFill>
            <a:round/>
          </a:ln>
          <a:effectLst/>
        </c:spPr>
        <c:txPr>
          <a:bodyPr rot="0" spcFirstLastPara="1" vertOverflow="ellipsis" vert="horz" wrap="square" anchor="ctr" anchorCtr="1"/>
          <a:lstStyle/>
          <a:p>
            <a:pPr rtl="0">
              <a:defRPr sz="799" b="0" i="0" u="none" strike="noStrike" kern="1200" baseline="0">
                <a:solidFill>
                  <a:schemeClr val="tx1">
                    <a:lumMod val="65000"/>
                    <a:lumOff val="35000"/>
                  </a:schemeClr>
                </a:solidFill>
                <a:latin typeface="+mn-lt"/>
                <a:ea typeface="+mn-ea"/>
                <a:cs typeface="+mn-cs"/>
              </a:defRPr>
            </a:pPr>
            <a:endParaRPr lang="es-MX"/>
          </a:p>
        </c:txPr>
      </c:dTable>
      <c:spPr>
        <a:noFill/>
        <a:ln w="25379">
          <a:noFill/>
        </a:ln>
      </c:spPr>
    </c:plotArea>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Nuevo</a:t>
            </a:r>
            <a:r>
              <a:rPr lang="en-US" baseline="0"/>
              <a:t> Ingreso</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Nuevo Ingreso</c:v>
                </c:pt>
              </c:strCache>
            </c:strRef>
          </c:tx>
          <c:spPr>
            <a:solidFill>
              <a:schemeClr val="accent1"/>
            </a:solidFill>
            <a:ln>
              <a:noFill/>
            </a:ln>
            <a:effectLst/>
          </c:spPr>
          <c:invertIfNegative val="0"/>
          <c:dPt>
            <c:idx val="0"/>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1-D955-431D-892B-80282DD98AD2}"/>
              </c:ext>
            </c:extLst>
          </c:dPt>
          <c:dPt>
            <c:idx val="1"/>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3-D955-431D-892B-80282DD98AD2}"/>
              </c:ext>
            </c:extLst>
          </c:dPt>
          <c:dPt>
            <c:idx val="2"/>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5-D955-431D-892B-80282DD98AD2}"/>
              </c:ext>
            </c:extLst>
          </c:dPt>
          <c:cat>
            <c:strRef>
              <c:f>Hoja1!$A$2:$A$3</c:f>
              <c:strCache>
                <c:ptCount val="2"/>
                <c:pt idx="0">
                  <c:v>Mujeres</c:v>
                </c:pt>
                <c:pt idx="1">
                  <c:v>Hombres</c:v>
                </c:pt>
              </c:strCache>
            </c:strRef>
          </c:cat>
          <c:val>
            <c:numRef>
              <c:f>Hoja1!$B$2:$B$3</c:f>
              <c:numCache>
                <c:formatCode>General</c:formatCode>
                <c:ptCount val="2"/>
                <c:pt idx="0">
                  <c:v>20</c:v>
                </c:pt>
                <c:pt idx="1">
                  <c:v>5</c:v>
                </c:pt>
              </c:numCache>
            </c:numRef>
          </c:val>
          <c:extLst xmlns:c16r2="http://schemas.microsoft.com/office/drawing/2015/06/chart">
            <c:ext xmlns:c16="http://schemas.microsoft.com/office/drawing/2014/chart" uri="{C3380CC4-5D6E-409C-BE32-E72D297353CC}">
              <c16:uniqueId val="{00000000-8092-4097-8683-0CB9BB179C2A}"/>
            </c:ext>
          </c:extLst>
        </c:ser>
        <c:dLbls>
          <c:showLegendKey val="0"/>
          <c:showVal val="0"/>
          <c:showCatName val="0"/>
          <c:showSerName val="0"/>
          <c:showPercent val="0"/>
          <c:showBubbleSize val="0"/>
        </c:dLbls>
        <c:gapWidth val="219"/>
        <c:overlap val="-27"/>
        <c:axId val="346347352"/>
        <c:axId val="346347744"/>
      </c:barChart>
      <c:catAx>
        <c:axId val="346347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46347744"/>
        <c:crosses val="autoZero"/>
        <c:auto val="1"/>
        <c:lblAlgn val="ctr"/>
        <c:lblOffset val="100"/>
        <c:noMultiLvlLbl val="0"/>
      </c:catAx>
      <c:valAx>
        <c:axId val="3463477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4634735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Mujeres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1</c:v>
                </c:pt>
                <c:pt idx="1">
                  <c:v>7</c:v>
                </c:pt>
                <c:pt idx="2">
                  <c:v>9</c:v>
                </c:pt>
                <c:pt idx="3">
                  <c:v>3</c:v>
                </c:pt>
                <c:pt idx="4">
                  <c:v>0</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116837480"/>
        <c:axId val="116837872"/>
      </c:barChart>
      <c:catAx>
        <c:axId val="116837480"/>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16837872"/>
        <c:crosses val="autoZero"/>
        <c:auto val="1"/>
        <c:lblAlgn val="ctr"/>
        <c:lblOffset val="100"/>
        <c:noMultiLvlLbl val="0"/>
      </c:catAx>
      <c:valAx>
        <c:axId val="116837872"/>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116837480"/>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Hombres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3</c:v>
                </c:pt>
                <c:pt idx="1">
                  <c:v>0</c:v>
                </c:pt>
                <c:pt idx="2">
                  <c:v>1</c:v>
                </c:pt>
                <c:pt idx="3">
                  <c:v>1</c:v>
                </c:pt>
                <c:pt idx="4">
                  <c:v>0</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116839440"/>
        <c:axId val="116839832"/>
      </c:barChart>
      <c:catAx>
        <c:axId val="116839440"/>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16839832"/>
        <c:crosses val="autoZero"/>
        <c:auto val="1"/>
        <c:lblAlgn val="ctr"/>
        <c:lblOffset val="100"/>
        <c:noMultiLvlLbl val="0"/>
      </c:catAx>
      <c:valAx>
        <c:axId val="116839832"/>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116839440"/>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s-MX"/>
              <a:t>Lugar</a:t>
            </a:r>
            <a:r>
              <a:rPr lang="es-MX" baseline="0"/>
              <a:t> de procedencia</a:t>
            </a:r>
            <a:endParaRPr lang="es-MX"/>
          </a:p>
        </c:rich>
      </c:tx>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Hoja1!$A$2:$A$8</c:f>
              <c:strCache>
                <c:ptCount val="7"/>
                <c:pt idx="0">
                  <c:v>San Martín de Hidalgo</c:v>
                </c:pt>
                <c:pt idx="1">
                  <c:v>La Labor de Medina</c:v>
                </c:pt>
                <c:pt idx="2">
                  <c:v>San Gerónimo </c:v>
                </c:pt>
                <c:pt idx="3">
                  <c:v>Lázaro Cárdenas </c:v>
                </c:pt>
                <c:pt idx="4">
                  <c:v>Crucero de Santa María</c:v>
                </c:pt>
                <c:pt idx="5">
                  <c:v>Salitre</c:v>
                </c:pt>
                <c:pt idx="6">
                  <c:v>Los Guerrero </c:v>
                </c:pt>
              </c:strCache>
            </c:strRef>
          </c:cat>
          <c:val>
            <c:numRef>
              <c:f>Hoja1!$B$2:$B$8</c:f>
              <c:numCache>
                <c:formatCode>General</c:formatCode>
                <c:ptCount val="7"/>
                <c:pt idx="0">
                  <c:v>12</c:v>
                </c:pt>
                <c:pt idx="1">
                  <c:v>1</c:v>
                </c:pt>
                <c:pt idx="2">
                  <c:v>1</c:v>
                </c:pt>
                <c:pt idx="3">
                  <c:v>0</c:v>
                </c:pt>
                <c:pt idx="4">
                  <c:v>2</c:v>
                </c:pt>
                <c:pt idx="5">
                  <c:v>2</c:v>
                </c:pt>
                <c:pt idx="6">
                  <c:v>2</c:v>
                </c:pt>
              </c:numCache>
            </c:numRef>
          </c:val>
          <c:extLst xmlns:c16r2="http://schemas.microsoft.com/office/drawing/2015/06/chart">
            <c:ext xmlns:c16="http://schemas.microsoft.com/office/drawing/2014/chart" uri="{C3380CC4-5D6E-409C-BE32-E72D297353CC}">
              <c16:uniqueId val="{00000000-A951-4124-AC3C-4D224D03289E}"/>
            </c:ext>
          </c:extLst>
        </c:ser>
        <c:ser>
          <c:idx val="1"/>
          <c:order val="1"/>
          <c:tx>
            <c:strRef>
              <c:f>Hoja1!$C$1</c:f>
              <c:strCache>
                <c:ptCount val="1"/>
                <c:pt idx="0">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Hoja1!$A$2:$A$8</c:f>
              <c:strCache>
                <c:ptCount val="7"/>
                <c:pt idx="0">
                  <c:v>San Martín de Hidalgo</c:v>
                </c:pt>
                <c:pt idx="1">
                  <c:v>La Labor de Medina</c:v>
                </c:pt>
                <c:pt idx="2">
                  <c:v>San Gerónimo </c:v>
                </c:pt>
                <c:pt idx="3">
                  <c:v>Lázaro Cárdenas </c:v>
                </c:pt>
                <c:pt idx="4">
                  <c:v>Crucero de Santa María</c:v>
                </c:pt>
                <c:pt idx="5">
                  <c:v>Salitre</c:v>
                </c:pt>
                <c:pt idx="6">
                  <c:v>Los Guerrero </c:v>
                </c:pt>
              </c:strCache>
            </c:strRef>
          </c:cat>
          <c:val>
            <c:numRef>
              <c:f>Hoja1!$C$2:$C$8</c:f>
              <c:numCache>
                <c:formatCode>General</c:formatCode>
                <c:ptCount val="7"/>
                <c:pt idx="0">
                  <c:v>4</c:v>
                </c:pt>
                <c:pt idx="1">
                  <c:v>0</c:v>
                </c:pt>
                <c:pt idx="2">
                  <c:v>0</c:v>
                </c:pt>
                <c:pt idx="3">
                  <c:v>1</c:v>
                </c:pt>
                <c:pt idx="4">
                  <c:v>0</c:v>
                </c:pt>
                <c:pt idx="5">
                  <c:v>0</c:v>
                </c:pt>
                <c:pt idx="6">
                  <c:v>0</c:v>
                </c:pt>
              </c:numCache>
            </c:numRef>
          </c:val>
          <c:extLst xmlns:c16r2="http://schemas.microsoft.com/office/drawing/2015/06/chart">
            <c:ext xmlns:c16="http://schemas.microsoft.com/office/drawing/2014/chart" uri="{C3380CC4-5D6E-409C-BE32-E72D297353CC}">
              <c16:uniqueId val="{00000000-34C3-48ED-954B-B157E839A943}"/>
            </c:ext>
          </c:extLst>
        </c:ser>
        <c:dLbls>
          <c:showLegendKey val="0"/>
          <c:showVal val="0"/>
          <c:showCatName val="0"/>
          <c:showSerName val="0"/>
          <c:showPercent val="0"/>
          <c:showBubbleSize val="0"/>
        </c:dLbls>
        <c:gapWidth val="115"/>
        <c:overlap val="-20"/>
        <c:axId val="116841008"/>
        <c:axId val="217512760"/>
      </c:barChart>
      <c:catAx>
        <c:axId val="116841008"/>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217512760"/>
        <c:crosses val="autoZero"/>
        <c:auto val="1"/>
        <c:lblAlgn val="ctr"/>
        <c:lblOffset val="100"/>
        <c:noMultiLvlLbl val="0"/>
      </c:catAx>
      <c:valAx>
        <c:axId val="217512760"/>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16841008"/>
        <c:crosses val="autoZero"/>
        <c:crossBetween val="between"/>
        <c:majorUnit val="1"/>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MX"/>
          </a:p>
        </c:txPr>
      </c:dTable>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Hoja1!$B$2</c:f>
              <c:strCache>
                <c:ptCount val="1"/>
                <c:pt idx="0">
                  <c:v>Mujeres</c:v>
                </c:pt>
              </c:strCache>
            </c:strRef>
          </c:tx>
          <c:spPr>
            <a:solidFill>
              <a:schemeClr val="dk1">
                <a:tint val="88500"/>
              </a:schemeClr>
            </a:solidFill>
            <a:ln>
              <a:noFill/>
            </a:ln>
            <a:effectLst/>
          </c:spPr>
          <c:invertIfNegative val="0"/>
          <c:cat>
            <c:strRef>
              <c:f>Hoja1!$A$3:$A$9</c:f>
              <c:strCache>
                <c:ptCount val="7"/>
                <c:pt idx="0">
                  <c:v>Preescolar</c:v>
                </c:pt>
                <c:pt idx="1">
                  <c:v>Primaria</c:v>
                </c:pt>
                <c:pt idx="2">
                  <c:v>Secundaria</c:v>
                </c:pt>
                <c:pt idx="3">
                  <c:v>Preparatoria</c:v>
                </c:pt>
                <c:pt idx="4">
                  <c:v>Universidad</c:v>
                </c:pt>
                <c:pt idx="5">
                  <c:v>Alfabeta</c:v>
                </c:pt>
                <c:pt idx="6">
                  <c:v>No especificó </c:v>
                </c:pt>
              </c:strCache>
            </c:strRef>
          </c:cat>
          <c:val>
            <c:numRef>
              <c:f>Hoja1!$B$3:$B$9</c:f>
              <c:numCache>
                <c:formatCode>General</c:formatCode>
                <c:ptCount val="7"/>
                <c:pt idx="0">
                  <c:v>0</c:v>
                </c:pt>
                <c:pt idx="1">
                  <c:v>5</c:v>
                </c:pt>
                <c:pt idx="2">
                  <c:v>12</c:v>
                </c:pt>
                <c:pt idx="3">
                  <c:v>1</c:v>
                </c:pt>
                <c:pt idx="4">
                  <c:v>1</c:v>
                </c:pt>
                <c:pt idx="5">
                  <c:v>0</c:v>
                </c:pt>
                <c:pt idx="6">
                  <c:v>1</c:v>
                </c:pt>
              </c:numCache>
            </c:numRef>
          </c:val>
          <c:extLst xmlns:c16r2="http://schemas.microsoft.com/office/drawing/2015/06/chart">
            <c:ext xmlns:c16="http://schemas.microsoft.com/office/drawing/2014/chart" uri="{C3380CC4-5D6E-409C-BE32-E72D297353CC}">
              <c16:uniqueId val="{00000000-247D-4B4D-8730-18BA1D1C9F4C}"/>
            </c:ext>
          </c:extLst>
        </c:ser>
        <c:ser>
          <c:idx val="1"/>
          <c:order val="1"/>
          <c:tx>
            <c:strRef>
              <c:f>Hoja1!$C$2</c:f>
              <c:strCache>
                <c:ptCount val="1"/>
                <c:pt idx="0">
                  <c:v>Hombres</c:v>
                </c:pt>
              </c:strCache>
            </c:strRef>
          </c:tx>
          <c:spPr>
            <a:solidFill>
              <a:schemeClr val="dk1">
                <a:tint val="55000"/>
              </a:schemeClr>
            </a:solidFill>
            <a:ln>
              <a:noFill/>
            </a:ln>
            <a:effectLst/>
          </c:spPr>
          <c:invertIfNegative val="0"/>
          <c:cat>
            <c:strRef>
              <c:f>Hoja1!$A$3:$A$9</c:f>
              <c:strCache>
                <c:ptCount val="7"/>
                <c:pt idx="0">
                  <c:v>Preescolar</c:v>
                </c:pt>
                <c:pt idx="1">
                  <c:v>Primaria</c:v>
                </c:pt>
                <c:pt idx="2">
                  <c:v>Secundaria</c:v>
                </c:pt>
                <c:pt idx="3">
                  <c:v>Preparatoria</c:v>
                </c:pt>
                <c:pt idx="4">
                  <c:v>Universidad</c:v>
                </c:pt>
                <c:pt idx="5">
                  <c:v>Alfabeta</c:v>
                </c:pt>
                <c:pt idx="6">
                  <c:v>No especificó </c:v>
                </c:pt>
              </c:strCache>
            </c:strRef>
          </c:cat>
          <c:val>
            <c:numRef>
              <c:f>Hoja1!$C$3:$C$9</c:f>
              <c:numCache>
                <c:formatCode>General</c:formatCode>
                <c:ptCount val="7"/>
                <c:pt idx="0">
                  <c:v>0</c:v>
                </c:pt>
                <c:pt idx="1">
                  <c:v>2</c:v>
                </c:pt>
                <c:pt idx="2">
                  <c:v>2</c:v>
                </c:pt>
                <c:pt idx="3">
                  <c:v>1</c:v>
                </c:pt>
                <c:pt idx="4">
                  <c:v>0</c:v>
                </c:pt>
                <c:pt idx="5">
                  <c:v>0</c:v>
                </c:pt>
                <c:pt idx="6">
                  <c:v>0</c:v>
                </c:pt>
              </c:numCache>
            </c:numRef>
          </c:val>
          <c:extLst xmlns:c16r2="http://schemas.microsoft.com/office/drawing/2015/06/chart">
            <c:ext xmlns:c16="http://schemas.microsoft.com/office/drawing/2014/chart" uri="{C3380CC4-5D6E-409C-BE32-E72D297353CC}">
              <c16:uniqueId val="{00000000-9C77-4E84-9F65-EED4D4E7E9A2}"/>
            </c:ext>
          </c:extLst>
        </c:ser>
        <c:dLbls>
          <c:showLegendKey val="0"/>
          <c:showVal val="0"/>
          <c:showCatName val="0"/>
          <c:showSerName val="0"/>
          <c:showPercent val="0"/>
          <c:showBubbleSize val="0"/>
        </c:dLbls>
        <c:gapWidth val="182"/>
        <c:axId val="116839048"/>
        <c:axId val="217513936"/>
      </c:barChart>
      <c:catAx>
        <c:axId val="116839048"/>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17513936"/>
        <c:crosses val="autoZero"/>
        <c:auto val="1"/>
        <c:lblAlgn val="ctr"/>
        <c:lblOffset val="100"/>
        <c:noMultiLvlLbl val="0"/>
      </c:catAx>
      <c:valAx>
        <c:axId val="217513936"/>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16839048"/>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Hoja1!$A$2:$A$7</c:f>
              <c:strCache>
                <c:ptCount val="6"/>
                <c:pt idx="0">
                  <c:v>Hogar </c:v>
                </c:pt>
                <c:pt idx="1">
                  <c:v>Empleada/o</c:v>
                </c:pt>
                <c:pt idx="2">
                  <c:v>Comerciante</c:v>
                </c:pt>
                <c:pt idx="3">
                  <c:v>Estudiante</c:v>
                </c:pt>
                <c:pt idx="4">
                  <c:v>Desempleada/o</c:v>
                </c:pt>
                <c:pt idx="5">
                  <c:v>No especificó</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1CE6-4DF5-9E6B-D1F40B72A54A}"/>
            </c:ext>
          </c:extLst>
        </c:ser>
        <c:ser>
          <c:idx val="1"/>
          <c:order val="1"/>
          <c:tx>
            <c:strRef>
              <c:f>Hoja1!$C$1</c:f>
              <c:strCache>
                <c:ptCount val="1"/>
                <c:pt idx="0">
                  <c:v>Mujeres </c:v>
                </c:pt>
              </c:strCache>
            </c:strRef>
          </c:tx>
          <c:invertIfNegative val="0"/>
          <c:cat>
            <c:strRef>
              <c:f>Hoja1!$A$2:$A$7</c:f>
              <c:strCache>
                <c:ptCount val="6"/>
                <c:pt idx="0">
                  <c:v>Hogar </c:v>
                </c:pt>
                <c:pt idx="1">
                  <c:v>Empleada/o</c:v>
                </c:pt>
                <c:pt idx="2">
                  <c:v>Comerciante</c:v>
                </c:pt>
                <c:pt idx="3">
                  <c:v>Estudiante</c:v>
                </c:pt>
                <c:pt idx="4">
                  <c:v>Desempleada/o</c:v>
                </c:pt>
                <c:pt idx="5">
                  <c:v>No especificó</c:v>
                </c:pt>
              </c:strCache>
            </c:strRef>
          </c:cat>
          <c:val>
            <c:numRef>
              <c:f>Hoja1!$C$2:$C$7</c:f>
              <c:numCache>
                <c:formatCode>General</c:formatCode>
                <c:ptCount val="6"/>
                <c:pt idx="0">
                  <c:v>4</c:v>
                </c:pt>
                <c:pt idx="1">
                  <c:v>8</c:v>
                </c:pt>
                <c:pt idx="2">
                  <c:v>1</c:v>
                </c:pt>
                <c:pt idx="3">
                  <c:v>1</c:v>
                </c:pt>
                <c:pt idx="4">
                  <c:v>2</c:v>
                </c:pt>
                <c:pt idx="5">
                  <c:v>4</c:v>
                </c:pt>
              </c:numCache>
            </c:numRef>
          </c:val>
          <c:extLst xmlns:c16r2="http://schemas.microsoft.com/office/drawing/2015/06/chart">
            <c:ext xmlns:c16="http://schemas.microsoft.com/office/drawing/2014/chart" uri="{C3380CC4-5D6E-409C-BE32-E72D297353CC}">
              <c16:uniqueId val="{00000000-0EED-41DE-9048-3AE4A26431DA}"/>
            </c:ext>
          </c:extLst>
        </c:ser>
        <c:ser>
          <c:idx val="2"/>
          <c:order val="2"/>
          <c:tx>
            <c:strRef>
              <c:f>Hoja1!$D$1</c:f>
              <c:strCache>
                <c:ptCount val="1"/>
                <c:pt idx="0">
                  <c:v>Hombres</c:v>
                </c:pt>
              </c:strCache>
            </c:strRef>
          </c:tx>
          <c:invertIfNegative val="0"/>
          <c:cat>
            <c:strRef>
              <c:f>Hoja1!$A$2:$A$7</c:f>
              <c:strCache>
                <c:ptCount val="6"/>
                <c:pt idx="0">
                  <c:v>Hogar </c:v>
                </c:pt>
                <c:pt idx="1">
                  <c:v>Empleada/o</c:v>
                </c:pt>
                <c:pt idx="2">
                  <c:v>Comerciante</c:v>
                </c:pt>
                <c:pt idx="3">
                  <c:v>Estudiante</c:v>
                </c:pt>
                <c:pt idx="4">
                  <c:v>Desempleada/o</c:v>
                </c:pt>
                <c:pt idx="5">
                  <c:v>No especificó</c:v>
                </c:pt>
              </c:strCache>
            </c:strRef>
          </c:cat>
          <c:val>
            <c:numRef>
              <c:f>Hoja1!$D$2:$D$7</c:f>
              <c:numCache>
                <c:formatCode>General</c:formatCode>
                <c:ptCount val="6"/>
                <c:pt idx="0">
                  <c:v>0</c:v>
                </c:pt>
                <c:pt idx="1">
                  <c:v>2</c:v>
                </c:pt>
                <c:pt idx="2">
                  <c:v>0</c:v>
                </c:pt>
                <c:pt idx="3">
                  <c:v>3</c:v>
                </c:pt>
                <c:pt idx="4">
                  <c:v>0</c:v>
                </c:pt>
                <c:pt idx="5">
                  <c:v>0</c:v>
                </c:pt>
              </c:numCache>
            </c:numRef>
          </c:val>
          <c:extLst xmlns:c16r2="http://schemas.microsoft.com/office/drawing/2015/06/chart">
            <c:ext xmlns:c16="http://schemas.microsoft.com/office/drawing/2014/chart" uri="{C3380CC4-5D6E-409C-BE32-E72D297353CC}">
              <c16:uniqueId val="{00000001-0EED-41DE-9048-3AE4A26431DA}"/>
            </c:ext>
          </c:extLst>
        </c:ser>
        <c:dLbls>
          <c:showLegendKey val="0"/>
          <c:showVal val="0"/>
          <c:showCatName val="0"/>
          <c:showSerName val="0"/>
          <c:showPercent val="0"/>
          <c:showBubbleSize val="0"/>
        </c:dLbls>
        <c:gapWidth val="219"/>
        <c:axId val="217515112"/>
        <c:axId val="217515504"/>
      </c:barChart>
      <c:catAx>
        <c:axId val="217515112"/>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217515504"/>
        <c:crosses val="autoZero"/>
        <c:auto val="1"/>
        <c:lblAlgn val="ctr"/>
        <c:lblOffset val="100"/>
        <c:noMultiLvlLbl val="0"/>
      </c:catAx>
      <c:valAx>
        <c:axId val="217515504"/>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17515112"/>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layout/>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1-4EC2-441E-8F8D-BDFD68E50A86}"/>
              </c:ext>
            </c:extLst>
          </c:dPt>
          <c:dPt>
            <c:idx val="1"/>
            <c:invertIfNegative val="0"/>
            <c:bubble3D val="0"/>
            <c:extLst xmlns:c16r2="http://schemas.microsoft.com/office/drawing/2015/06/char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4-4EC2-441E-8F8D-BDFD68E50A86}"/>
              </c:ext>
            </c:extLst>
          </c:dPt>
          <c:cat>
            <c:strRef>
              <c:f>Hoja1!$A$2:$A$7</c:f>
              <c:strCache>
                <c:ptCount val="6"/>
                <c:pt idx="0">
                  <c:v>Casado/a</c:v>
                </c:pt>
                <c:pt idx="1">
                  <c:v>Soltero/a</c:v>
                </c:pt>
                <c:pt idx="2">
                  <c:v>Divorciado/a</c:v>
                </c:pt>
                <c:pt idx="3">
                  <c:v>Unión Libre</c:v>
                </c:pt>
                <c:pt idx="4">
                  <c:v>vuida/o</c:v>
                </c:pt>
                <c:pt idx="5">
                  <c:v>No especificó</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5-4EC2-441E-8F8D-BDFD68E50A86}"/>
            </c:ext>
          </c:extLst>
        </c:ser>
        <c:ser>
          <c:idx val="1"/>
          <c:order val="1"/>
          <c:tx>
            <c:strRef>
              <c:f>Hoja1!$C$1</c:f>
              <c:strCache>
                <c:ptCount val="1"/>
                <c:pt idx="0">
                  <c:v>Mujeres</c:v>
                </c:pt>
              </c:strCache>
            </c:strRef>
          </c:tx>
          <c:invertIfNegative val="0"/>
          <c:cat>
            <c:strRef>
              <c:f>Hoja1!$A$2:$A$7</c:f>
              <c:strCache>
                <c:ptCount val="6"/>
                <c:pt idx="0">
                  <c:v>Casado/a</c:v>
                </c:pt>
                <c:pt idx="1">
                  <c:v>Soltero/a</c:v>
                </c:pt>
                <c:pt idx="2">
                  <c:v>Divorciado/a</c:v>
                </c:pt>
                <c:pt idx="3">
                  <c:v>Unión Libre</c:v>
                </c:pt>
                <c:pt idx="4">
                  <c:v>vuida/o</c:v>
                </c:pt>
                <c:pt idx="5">
                  <c:v>No especificó</c:v>
                </c:pt>
              </c:strCache>
            </c:strRef>
          </c:cat>
          <c:val>
            <c:numRef>
              <c:f>Hoja1!$C$2:$C$7</c:f>
              <c:numCache>
                <c:formatCode>General</c:formatCode>
                <c:ptCount val="6"/>
                <c:pt idx="0">
                  <c:v>7</c:v>
                </c:pt>
                <c:pt idx="1">
                  <c:v>7</c:v>
                </c:pt>
                <c:pt idx="2">
                  <c:v>0</c:v>
                </c:pt>
                <c:pt idx="3">
                  <c:v>5</c:v>
                </c:pt>
                <c:pt idx="4">
                  <c:v>0</c:v>
                </c:pt>
                <c:pt idx="5">
                  <c:v>1</c:v>
                </c:pt>
              </c:numCache>
            </c:numRef>
          </c:val>
          <c:extLst xmlns:c16r2="http://schemas.microsoft.com/office/drawing/2015/06/chart">
            <c:ext xmlns:c16="http://schemas.microsoft.com/office/drawing/2014/chart" uri="{C3380CC4-5D6E-409C-BE32-E72D297353CC}">
              <c16:uniqueId val="{00000005-4B43-4E6B-8DEE-0C2B7AA14F07}"/>
            </c:ext>
          </c:extLst>
        </c:ser>
        <c:ser>
          <c:idx val="2"/>
          <c:order val="2"/>
          <c:tx>
            <c:strRef>
              <c:f>Hoja1!$D$1</c:f>
              <c:strCache>
                <c:ptCount val="1"/>
                <c:pt idx="0">
                  <c:v>Hombres</c:v>
                </c:pt>
              </c:strCache>
            </c:strRef>
          </c:tx>
          <c:invertIfNegative val="0"/>
          <c:cat>
            <c:strRef>
              <c:f>Hoja1!$A$2:$A$7</c:f>
              <c:strCache>
                <c:ptCount val="6"/>
                <c:pt idx="0">
                  <c:v>Casado/a</c:v>
                </c:pt>
                <c:pt idx="1">
                  <c:v>Soltero/a</c:v>
                </c:pt>
                <c:pt idx="2">
                  <c:v>Divorciado/a</c:v>
                </c:pt>
                <c:pt idx="3">
                  <c:v>Unión Libre</c:v>
                </c:pt>
                <c:pt idx="4">
                  <c:v>vuida/o</c:v>
                </c:pt>
                <c:pt idx="5">
                  <c:v>No especificó</c:v>
                </c:pt>
              </c:strCache>
            </c:strRef>
          </c:cat>
          <c:val>
            <c:numRef>
              <c:f>Hoja1!$D$2:$D$7</c:f>
              <c:numCache>
                <c:formatCode>General</c:formatCode>
                <c:ptCount val="6"/>
                <c:pt idx="0">
                  <c:v>1</c:v>
                </c:pt>
                <c:pt idx="1">
                  <c:v>3</c:v>
                </c:pt>
                <c:pt idx="2">
                  <c:v>0</c:v>
                </c:pt>
                <c:pt idx="3">
                  <c:v>0</c:v>
                </c:pt>
                <c:pt idx="4">
                  <c:v>1</c:v>
                </c:pt>
                <c:pt idx="5">
                  <c:v>0</c:v>
                </c:pt>
              </c:numCache>
            </c:numRef>
          </c:val>
          <c:extLst xmlns:c16r2="http://schemas.microsoft.com/office/drawing/2015/06/chart">
            <c:ext xmlns:c16="http://schemas.microsoft.com/office/drawing/2014/chart" uri="{C3380CC4-5D6E-409C-BE32-E72D297353CC}">
              <c16:uniqueId val="{00000006-4B43-4E6B-8DEE-0C2B7AA14F07}"/>
            </c:ext>
          </c:extLst>
        </c:ser>
        <c:dLbls>
          <c:showLegendKey val="0"/>
          <c:showVal val="0"/>
          <c:showCatName val="0"/>
          <c:showSerName val="0"/>
          <c:showPercent val="0"/>
          <c:showBubbleSize val="0"/>
        </c:dLbls>
        <c:gapWidth val="100"/>
        <c:axId val="220995232"/>
        <c:axId val="220995624"/>
      </c:barChart>
      <c:catAx>
        <c:axId val="220995232"/>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20995624"/>
        <c:crosses val="autoZero"/>
        <c:auto val="1"/>
        <c:lblAlgn val="ctr"/>
        <c:lblOffset val="100"/>
        <c:noMultiLvlLbl val="0"/>
      </c:catAx>
      <c:valAx>
        <c:axId val="220995624"/>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20995232"/>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D164-468E-BC25-E9039182CB2F}"/>
            </c:ext>
          </c:extLst>
        </c:ser>
        <c:ser>
          <c:idx val="1"/>
          <c:order val="1"/>
          <c:tx>
            <c:strRef>
              <c:f>Hoja1!$C$1</c:f>
              <c:strCache>
                <c:ptCount val="1"/>
                <c:pt idx="0">
                  <c:v>Mujeres </c:v>
                </c:pt>
              </c:strCache>
            </c:strRef>
          </c:tx>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Hoja1!$C$2:$C$6</c:f>
              <c:numCache>
                <c:formatCode>General</c:formatCode>
                <c:ptCount val="5"/>
                <c:pt idx="0">
                  <c:v>13</c:v>
                </c:pt>
                <c:pt idx="1">
                  <c:v>5</c:v>
                </c:pt>
                <c:pt idx="2">
                  <c:v>7</c:v>
                </c:pt>
                <c:pt idx="3">
                  <c:v>2</c:v>
                </c:pt>
                <c:pt idx="4">
                  <c:v>0</c:v>
                </c:pt>
              </c:numCache>
            </c:numRef>
          </c:val>
          <c:extLst xmlns:c16r2="http://schemas.microsoft.com/office/drawing/2015/06/chart">
            <c:ext xmlns:c16="http://schemas.microsoft.com/office/drawing/2014/chart" uri="{C3380CC4-5D6E-409C-BE32-E72D297353CC}">
              <c16:uniqueId val="{00000000-5E35-4254-B317-9240208ADF90}"/>
            </c:ext>
          </c:extLst>
        </c:ser>
        <c:ser>
          <c:idx val="2"/>
          <c:order val="2"/>
          <c:tx>
            <c:strRef>
              <c:f>Hoja1!$D$1</c:f>
              <c:strCache>
                <c:ptCount val="1"/>
                <c:pt idx="0">
                  <c:v>Hombres</c:v>
                </c:pt>
              </c:strCache>
            </c:strRef>
          </c:tx>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Hoja1!$D$2:$D$6</c:f>
              <c:numCache>
                <c:formatCode>General</c:formatCode>
                <c:ptCount val="5"/>
                <c:pt idx="0">
                  <c:v>1</c:v>
                </c:pt>
                <c:pt idx="1">
                  <c:v>0</c:v>
                </c:pt>
                <c:pt idx="2">
                  <c:v>1</c:v>
                </c:pt>
                <c:pt idx="3">
                  <c:v>0</c:v>
                </c:pt>
                <c:pt idx="4">
                  <c:v>0</c:v>
                </c:pt>
              </c:numCache>
            </c:numRef>
          </c:val>
          <c:extLst xmlns:c16r2="http://schemas.microsoft.com/office/drawing/2015/06/chart">
            <c:ext xmlns:c16="http://schemas.microsoft.com/office/drawing/2014/chart" uri="{C3380CC4-5D6E-409C-BE32-E72D297353CC}">
              <c16:uniqueId val="{00000001-5E35-4254-B317-9240208ADF90}"/>
            </c:ext>
          </c:extLst>
        </c:ser>
        <c:dLbls>
          <c:showLegendKey val="0"/>
          <c:showVal val="0"/>
          <c:showCatName val="0"/>
          <c:showSerName val="0"/>
          <c:showPercent val="0"/>
          <c:showBubbleSize val="0"/>
        </c:dLbls>
        <c:gapWidth val="182"/>
        <c:axId val="220996800"/>
        <c:axId val="220997192"/>
      </c:barChart>
      <c:catAx>
        <c:axId val="220996800"/>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220997192"/>
        <c:crosses val="autoZero"/>
        <c:auto val="1"/>
        <c:lblAlgn val="ctr"/>
        <c:lblOffset val="100"/>
        <c:noMultiLvlLbl val="0"/>
      </c:catAx>
      <c:valAx>
        <c:axId val="220997192"/>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220996800"/>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2">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EBAC4-C4F7-4515-A36C-63C2D520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1989</TotalTime>
  <Pages>16</Pages>
  <Words>1514</Words>
  <Characters>8330</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 SMH</dc:creator>
  <cp:keywords/>
  <dc:description/>
  <cp:lastModifiedBy>LUyRO</cp:lastModifiedBy>
  <cp:revision>111</cp:revision>
  <dcterms:created xsi:type="dcterms:W3CDTF">2018-08-30T17:49:00Z</dcterms:created>
  <dcterms:modified xsi:type="dcterms:W3CDTF">2019-01-28T04:11:00Z</dcterms:modified>
</cp:coreProperties>
</file>